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AA1646">
      <w:pPr>
        <w:jc w:val="center"/>
        <w:rPr>
          <w:rFonts w:hint="eastAsia" w:ascii="宋体" w:hAnsi="宋体" w:eastAsia="宋体"/>
          <w:b/>
          <w:color w:val="auto"/>
          <w:sz w:val="44"/>
          <w:szCs w:val="44"/>
        </w:rPr>
      </w:pPr>
      <w:r>
        <w:rPr>
          <w:rFonts w:hint="eastAsia" w:ascii="宋体" w:hAnsi="宋体" w:eastAsia="宋体"/>
          <w:b/>
          <w:color w:val="auto"/>
          <w:sz w:val="44"/>
          <w:szCs w:val="44"/>
        </w:rPr>
        <w:t>项目需求书</w:t>
      </w:r>
    </w:p>
    <w:p w14:paraId="5F2751E3">
      <w:pPr>
        <w:pStyle w:val="9"/>
        <w:numPr>
          <w:ilvl w:val="0"/>
          <w:numId w:val="1"/>
        </w:numPr>
        <w:ind w:firstLineChars="0"/>
        <w:rPr>
          <w:rFonts w:ascii="仿宋" w:hAnsi="仿宋" w:eastAsia="仿宋"/>
          <w:b/>
          <w:color w:val="auto"/>
          <w:sz w:val="32"/>
          <w:szCs w:val="32"/>
        </w:rPr>
      </w:pPr>
      <w:r>
        <w:rPr>
          <w:rFonts w:hint="eastAsia" w:ascii="仿宋" w:hAnsi="仿宋" w:eastAsia="仿宋"/>
          <w:b/>
          <w:color w:val="auto"/>
          <w:sz w:val="32"/>
          <w:szCs w:val="32"/>
        </w:rPr>
        <w:t>项目说明</w:t>
      </w:r>
    </w:p>
    <w:p w14:paraId="186DA519">
      <w:pPr>
        <w:rPr>
          <w:rFonts w:ascii="仿宋" w:hAnsi="仿宋" w:eastAsia="仿宋"/>
          <w:color w:val="auto"/>
          <w:sz w:val="32"/>
          <w:szCs w:val="32"/>
        </w:rPr>
      </w:pPr>
      <w:r>
        <w:rPr>
          <w:rFonts w:hint="eastAsia" w:ascii="仿宋" w:hAnsi="仿宋" w:eastAsia="仿宋"/>
          <w:color w:val="auto"/>
          <w:sz w:val="32"/>
          <w:szCs w:val="32"/>
        </w:rPr>
        <w:t>开发内容：</w:t>
      </w:r>
    </w:p>
    <w:tbl>
      <w:tblPr>
        <w:tblStyle w:val="6"/>
        <w:tblW w:w="105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440"/>
        <w:gridCol w:w="5518"/>
        <w:gridCol w:w="875"/>
        <w:gridCol w:w="813"/>
        <w:gridCol w:w="1231"/>
      </w:tblGrid>
      <w:tr w14:paraId="7725A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704" w:type="dxa"/>
            <w:vAlign w:val="center"/>
          </w:tcPr>
          <w:p w14:paraId="078E06B8">
            <w:pPr>
              <w:adjustRightInd w:val="0"/>
              <w:snapToGrid w:val="0"/>
              <w:spacing w:line="360" w:lineRule="auto"/>
              <w:jc w:val="center"/>
              <w:rPr>
                <w:rFonts w:ascii="仿宋" w:hAnsi="仿宋" w:eastAsia="仿宋"/>
                <w:bCs/>
                <w:color w:val="auto"/>
                <w:sz w:val="24"/>
              </w:rPr>
            </w:pPr>
            <w:r>
              <w:rPr>
                <w:rFonts w:hint="eastAsia" w:ascii="仿宋" w:hAnsi="仿宋" w:eastAsia="仿宋"/>
                <w:bCs/>
                <w:color w:val="auto"/>
                <w:sz w:val="24"/>
              </w:rPr>
              <w:t>序号</w:t>
            </w:r>
          </w:p>
        </w:tc>
        <w:tc>
          <w:tcPr>
            <w:tcW w:w="1440" w:type="dxa"/>
            <w:vAlign w:val="center"/>
          </w:tcPr>
          <w:p w14:paraId="79F28098">
            <w:pPr>
              <w:adjustRightInd w:val="0"/>
              <w:snapToGrid w:val="0"/>
              <w:spacing w:line="360" w:lineRule="auto"/>
              <w:jc w:val="center"/>
              <w:rPr>
                <w:rFonts w:ascii="仿宋" w:hAnsi="仿宋" w:eastAsia="仿宋"/>
                <w:bCs/>
                <w:color w:val="auto"/>
                <w:sz w:val="24"/>
              </w:rPr>
            </w:pPr>
            <w:r>
              <w:rPr>
                <w:rFonts w:hint="eastAsia" w:ascii="仿宋" w:hAnsi="仿宋" w:eastAsia="仿宋"/>
                <w:bCs/>
                <w:color w:val="auto"/>
                <w:sz w:val="24"/>
              </w:rPr>
              <w:t>项目内容</w:t>
            </w:r>
          </w:p>
        </w:tc>
        <w:tc>
          <w:tcPr>
            <w:tcW w:w="5518" w:type="dxa"/>
            <w:vAlign w:val="center"/>
          </w:tcPr>
          <w:p w14:paraId="3015B250">
            <w:pPr>
              <w:adjustRightInd w:val="0"/>
              <w:snapToGrid w:val="0"/>
              <w:spacing w:line="360" w:lineRule="auto"/>
              <w:jc w:val="center"/>
              <w:rPr>
                <w:rFonts w:ascii="仿宋" w:hAnsi="仿宋" w:eastAsia="仿宋"/>
                <w:bCs/>
                <w:color w:val="auto"/>
                <w:sz w:val="24"/>
              </w:rPr>
            </w:pPr>
            <w:r>
              <w:rPr>
                <w:rFonts w:hint="eastAsia" w:ascii="仿宋" w:hAnsi="仿宋" w:eastAsia="仿宋"/>
                <w:bCs/>
                <w:color w:val="auto"/>
                <w:sz w:val="24"/>
              </w:rPr>
              <w:t>★交货期</w:t>
            </w:r>
          </w:p>
        </w:tc>
        <w:tc>
          <w:tcPr>
            <w:tcW w:w="875" w:type="dxa"/>
            <w:vAlign w:val="center"/>
          </w:tcPr>
          <w:p w14:paraId="3351721B">
            <w:pPr>
              <w:adjustRightInd w:val="0"/>
              <w:snapToGrid w:val="0"/>
              <w:spacing w:line="360" w:lineRule="auto"/>
              <w:jc w:val="center"/>
              <w:rPr>
                <w:rFonts w:ascii="仿宋" w:hAnsi="仿宋" w:eastAsia="仿宋"/>
                <w:bCs/>
                <w:color w:val="auto"/>
                <w:sz w:val="24"/>
              </w:rPr>
            </w:pPr>
            <w:r>
              <w:rPr>
                <w:rFonts w:hint="eastAsia" w:ascii="仿宋" w:hAnsi="仿宋" w:eastAsia="仿宋"/>
                <w:bCs/>
                <w:color w:val="auto"/>
                <w:sz w:val="24"/>
              </w:rPr>
              <w:t>单位</w:t>
            </w:r>
          </w:p>
        </w:tc>
        <w:tc>
          <w:tcPr>
            <w:tcW w:w="813" w:type="dxa"/>
            <w:vAlign w:val="center"/>
          </w:tcPr>
          <w:p w14:paraId="252C39A5">
            <w:pPr>
              <w:adjustRightInd w:val="0"/>
              <w:snapToGrid w:val="0"/>
              <w:spacing w:line="360" w:lineRule="auto"/>
              <w:jc w:val="center"/>
              <w:rPr>
                <w:rFonts w:ascii="仿宋" w:hAnsi="仿宋" w:eastAsia="仿宋"/>
                <w:bCs/>
                <w:color w:val="auto"/>
                <w:sz w:val="24"/>
              </w:rPr>
            </w:pPr>
            <w:r>
              <w:rPr>
                <w:rFonts w:hint="eastAsia" w:ascii="仿宋" w:hAnsi="仿宋" w:eastAsia="仿宋"/>
                <w:bCs/>
                <w:color w:val="auto"/>
                <w:sz w:val="24"/>
              </w:rPr>
              <w:t>数量</w:t>
            </w:r>
          </w:p>
        </w:tc>
        <w:tc>
          <w:tcPr>
            <w:tcW w:w="1231" w:type="dxa"/>
            <w:vAlign w:val="center"/>
          </w:tcPr>
          <w:p w14:paraId="3C99539A">
            <w:pPr>
              <w:adjustRightInd w:val="0"/>
              <w:snapToGrid w:val="0"/>
              <w:spacing w:line="360" w:lineRule="auto"/>
              <w:jc w:val="center"/>
              <w:rPr>
                <w:rFonts w:ascii="仿宋" w:hAnsi="仿宋" w:eastAsia="仿宋"/>
                <w:bCs/>
                <w:color w:val="auto"/>
                <w:sz w:val="24"/>
              </w:rPr>
            </w:pPr>
            <w:bookmarkStart w:id="0" w:name="_Hlk62807223"/>
            <w:r>
              <w:rPr>
                <w:rFonts w:hint="eastAsia" w:ascii="仿宋" w:hAnsi="仿宋" w:eastAsia="仿宋"/>
                <w:bCs/>
                <w:color w:val="auto"/>
                <w:sz w:val="24"/>
              </w:rPr>
              <w:t>项目预算</w:t>
            </w:r>
            <w:bookmarkEnd w:id="0"/>
          </w:p>
          <w:p w14:paraId="0B6F2CE1">
            <w:pPr>
              <w:adjustRightInd w:val="0"/>
              <w:snapToGrid w:val="0"/>
              <w:spacing w:line="360" w:lineRule="auto"/>
              <w:jc w:val="center"/>
              <w:rPr>
                <w:rFonts w:ascii="仿宋" w:hAnsi="仿宋" w:eastAsia="仿宋"/>
                <w:color w:val="auto"/>
              </w:rPr>
            </w:pPr>
            <w:r>
              <w:rPr>
                <w:rFonts w:hint="eastAsia" w:ascii="仿宋" w:hAnsi="仿宋" w:eastAsia="仿宋"/>
                <w:bCs/>
                <w:color w:val="auto"/>
                <w:sz w:val="24"/>
              </w:rPr>
              <w:t>（万元）</w:t>
            </w:r>
          </w:p>
        </w:tc>
      </w:tr>
      <w:tr w14:paraId="07C91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3" w:hRule="atLeast"/>
          <w:jc w:val="center"/>
        </w:trPr>
        <w:tc>
          <w:tcPr>
            <w:tcW w:w="704" w:type="dxa"/>
            <w:vAlign w:val="center"/>
          </w:tcPr>
          <w:p w14:paraId="7D0FCD33">
            <w:pPr>
              <w:adjustRightInd w:val="0"/>
              <w:snapToGrid w:val="0"/>
              <w:spacing w:line="360" w:lineRule="auto"/>
              <w:jc w:val="center"/>
              <w:rPr>
                <w:rFonts w:ascii="仿宋" w:hAnsi="仿宋" w:eastAsia="仿宋"/>
                <w:bCs/>
                <w:color w:val="auto"/>
                <w:sz w:val="24"/>
              </w:rPr>
            </w:pPr>
            <w:r>
              <w:rPr>
                <w:rFonts w:hint="eastAsia" w:ascii="仿宋" w:hAnsi="仿宋" w:eastAsia="仿宋"/>
                <w:bCs/>
                <w:color w:val="auto"/>
                <w:sz w:val="24"/>
              </w:rPr>
              <w:t>1</w:t>
            </w:r>
          </w:p>
        </w:tc>
        <w:tc>
          <w:tcPr>
            <w:tcW w:w="1440" w:type="dxa"/>
            <w:vAlign w:val="center"/>
          </w:tcPr>
          <w:p w14:paraId="2E3C40CB">
            <w:pPr>
              <w:adjustRightInd w:val="0"/>
              <w:snapToGrid w:val="0"/>
              <w:spacing w:line="360" w:lineRule="auto"/>
              <w:jc w:val="center"/>
              <w:rPr>
                <w:rFonts w:hint="eastAsia" w:ascii="仿宋" w:hAnsi="仿宋" w:eastAsia="仿宋"/>
                <w:color w:val="auto"/>
                <w:sz w:val="24"/>
                <w:lang w:val="en-US" w:eastAsia="zh-Hans"/>
              </w:rPr>
            </w:pPr>
            <w:r>
              <w:rPr>
                <w:rFonts w:hint="eastAsia" w:ascii="仿宋" w:hAnsi="仿宋" w:eastAsia="仿宋"/>
                <w:color w:val="auto"/>
                <w:sz w:val="24"/>
                <w:lang w:val="en-US" w:eastAsia="zh-Hans"/>
              </w:rPr>
              <w:t>教育部院校基座数据采集对接系统</w:t>
            </w:r>
          </w:p>
        </w:tc>
        <w:tc>
          <w:tcPr>
            <w:tcW w:w="5518" w:type="dxa"/>
            <w:vAlign w:val="center"/>
          </w:tcPr>
          <w:p w14:paraId="6FE05CF4">
            <w:pPr>
              <w:adjustRightInd w:val="0"/>
              <w:snapToGrid w:val="0"/>
              <w:spacing w:line="360" w:lineRule="auto"/>
              <w:jc w:val="left"/>
              <w:rPr>
                <w:rFonts w:ascii="仿宋" w:hAnsi="仿宋" w:eastAsia="仿宋"/>
                <w:bCs/>
                <w:color w:val="auto"/>
                <w:sz w:val="24"/>
              </w:rPr>
            </w:pPr>
            <w:r>
              <w:rPr>
                <w:rFonts w:hint="eastAsia" w:ascii="仿宋" w:hAnsi="仿宋" w:eastAsia="仿宋"/>
                <w:bCs/>
                <w:color w:val="auto"/>
                <w:sz w:val="24"/>
              </w:rPr>
              <w:t>合同签订生效后</w:t>
            </w:r>
            <w:r>
              <w:rPr>
                <w:rFonts w:hint="default" w:ascii="仿宋" w:hAnsi="仿宋" w:eastAsia="仿宋"/>
                <w:bCs/>
                <w:color w:val="auto"/>
                <w:sz w:val="24"/>
              </w:rPr>
              <w:t>4</w:t>
            </w:r>
            <w:r>
              <w:rPr>
                <w:rFonts w:hint="eastAsia" w:ascii="仿宋" w:hAnsi="仿宋" w:eastAsia="仿宋"/>
                <w:bCs/>
                <w:color w:val="auto"/>
                <w:sz w:val="24"/>
              </w:rPr>
              <w:t>个月内完成业务需求整理分析、系统的功能建设并投入实际试运行。（如因不可抗力因素，与需求方协商调整交货期）</w:t>
            </w:r>
          </w:p>
        </w:tc>
        <w:tc>
          <w:tcPr>
            <w:tcW w:w="875" w:type="dxa"/>
            <w:vAlign w:val="center"/>
          </w:tcPr>
          <w:p w14:paraId="45F54320">
            <w:pPr>
              <w:adjustRightInd w:val="0"/>
              <w:snapToGrid w:val="0"/>
              <w:spacing w:line="360" w:lineRule="auto"/>
              <w:jc w:val="center"/>
              <w:rPr>
                <w:rFonts w:ascii="仿宋" w:hAnsi="仿宋" w:eastAsia="仿宋"/>
                <w:bCs/>
                <w:color w:val="auto"/>
                <w:sz w:val="24"/>
              </w:rPr>
            </w:pPr>
            <w:r>
              <w:rPr>
                <w:rFonts w:hint="eastAsia" w:ascii="仿宋" w:hAnsi="仿宋" w:eastAsia="仿宋"/>
                <w:bCs/>
                <w:color w:val="auto"/>
                <w:sz w:val="24"/>
              </w:rPr>
              <w:t>项目</w:t>
            </w:r>
          </w:p>
        </w:tc>
        <w:tc>
          <w:tcPr>
            <w:tcW w:w="813" w:type="dxa"/>
            <w:vAlign w:val="center"/>
          </w:tcPr>
          <w:p w14:paraId="3EDCDFDC">
            <w:pPr>
              <w:adjustRightInd w:val="0"/>
              <w:snapToGrid w:val="0"/>
              <w:spacing w:line="360" w:lineRule="auto"/>
              <w:jc w:val="center"/>
              <w:rPr>
                <w:rFonts w:ascii="仿宋" w:hAnsi="仿宋" w:eastAsia="仿宋"/>
                <w:bCs/>
                <w:color w:val="auto"/>
                <w:sz w:val="24"/>
              </w:rPr>
            </w:pPr>
            <w:r>
              <w:rPr>
                <w:rFonts w:hint="eastAsia" w:ascii="仿宋" w:hAnsi="仿宋" w:eastAsia="仿宋"/>
                <w:bCs/>
                <w:color w:val="auto"/>
                <w:sz w:val="24"/>
              </w:rPr>
              <w:t>1</w:t>
            </w:r>
          </w:p>
        </w:tc>
        <w:tc>
          <w:tcPr>
            <w:tcW w:w="1231" w:type="dxa"/>
            <w:vAlign w:val="center"/>
          </w:tcPr>
          <w:p w14:paraId="71C9FC4A">
            <w:pPr>
              <w:adjustRightInd w:val="0"/>
              <w:snapToGrid w:val="0"/>
              <w:spacing w:line="360" w:lineRule="auto"/>
              <w:jc w:val="center"/>
              <w:rPr>
                <w:rFonts w:hint="default" w:ascii="仿宋" w:hAnsi="仿宋" w:eastAsia="仿宋"/>
                <w:bCs/>
                <w:color w:val="auto"/>
                <w:sz w:val="24"/>
                <w:lang w:val="en-US" w:eastAsia="zh-CN"/>
              </w:rPr>
            </w:pPr>
            <w:r>
              <w:rPr>
                <w:rFonts w:hint="eastAsia" w:ascii="仿宋" w:hAnsi="仿宋" w:eastAsia="仿宋"/>
                <w:bCs/>
                <w:color w:val="auto"/>
                <w:sz w:val="24"/>
                <w:lang w:val="en-US" w:eastAsia="zh-CN"/>
              </w:rPr>
              <w:t>4.90</w:t>
            </w:r>
          </w:p>
        </w:tc>
      </w:tr>
    </w:tbl>
    <w:p w14:paraId="4C112002">
      <w:pPr>
        <w:jc w:val="center"/>
        <w:rPr>
          <w:rFonts w:hint="eastAsia" w:ascii="宋体" w:hAnsi="宋体" w:eastAsia="宋体"/>
          <w:b/>
          <w:color w:val="auto"/>
          <w:sz w:val="44"/>
          <w:szCs w:val="44"/>
        </w:rPr>
      </w:pPr>
    </w:p>
    <w:p w14:paraId="2250DBFC">
      <w:pPr>
        <w:pStyle w:val="9"/>
        <w:numPr>
          <w:ilvl w:val="0"/>
          <w:numId w:val="1"/>
        </w:numPr>
        <w:ind w:firstLineChars="0"/>
        <w:rPr>
          <w:rFonts w:ascii="仿宋" w:hAnsi="仿宋" w:eastAsia="仿宋"/>
          <w:b/>
          <w:color w:val="auto"/>
          <w:sz w:val="32"/>
          <w:szCs w:val="32"/>
        </w:rPr>
      </w:pPr>
      <w:bookmarkStart w:id="1" w:name="_Toc14693"/>
      <w:bookmarkStart w:id="2" w:name="_Toc729"/>
      <w:r>
        <w:rPr>
          <w:rFonts w:hint="eastAsia" w:ascii="仿宋" w:hAnsi="仿宋" w:eastAsia="仿宋"/>
          <w:b/>
          <w:color w:val="auto"/>
          <w:sz w:val="32"/>
          <w:szCs w:val="32"/>
        </w:rPr>
        <w:t>项目基本概况</w:t>
      </w:r>
    </w:p>
    <w:p w14:paraId="0AE1207A">
      <w:pPr>
        <w:pStyle w:val="9"/>
        <w:numPr>
          <w:ilvl w:val="0"/>
          <w:numId w:val="0"/>
        </w:numPr>
        <w:ind w:leftChars="0" w:firstLine="540" w:firstLineChars="200"/>
        <w:rPr>
          <w:rFonts w:hint="default" w:ascii="Helvetica Neue" w:hAnsi="Helvetica Neue" w:eastAsia="Helvetica Neue" w:cs="Helvetica Neue"/>
          <w:i w:val="0"/>
          <w:iCs w:val="0"/>
          <w:caps w:val="0"/>
          <w:color w:val="1C1917"/>
          <w:spacing w:val="0"/>
          <w:sz w:val="27"/>
          <w:szCs w:val="27"/>
        </w:rPr>
      </w:pPr>
      <w:r>
        <w:rPr>
          <w:rFonts w:hint="default" w:ascii="Helvetica Neue" w:hAnsi="Helvetica Neue" w:eastAsia="Helvetica Neue" w:cs="Helvetica Neue"/>
          <w:i w:val="0"/>
          <w:iCs w:val="0"/>
          <w:caps w:val="0"/>
          <w:color w:val="1C1917"/>
          <w:spacing w:val="0"/>
          <w:sz w:val="27"/>
          <w:szCs w:val="27"/>
        </w:rPr>
        <w:t>满足教育部职业院校数字基座(原职教大脑院校中</w:t>
      </w:r>
      <w:r>
        <w:rPr>
          <w:rFonts w:hint="eastAsia" w:ascii="Helvetica Neue" w:hAnsi="Helvetica Neue" w:eastAsia="宋体" w:cs="Helvetica Neue"/>
          <w:i w:val="0"/>
          <w:iCs w:val="0"/>
          <w:caps w:val="0"/>
          <w:color w:val="1C1917"/>
          <w:spacing w:val="0"/>
          <w:sz w:val="27"/>
          <w:szCs w:val="27"/>
          <w:lang w:val="en-US" w:eastAsia="zh-CN"/>
        </w:rPr>
        <w:t>台)</w:t>
      </w:r>
      <w:r>
        <w:rPr>
          <w:rFonts w:hint="default" w:ascii="Helvetica Neue" w:hAnsi="Helvetica Neue" w:eastAsia="Helvetica Neue" w:cs="Helvetica Neue"/>
          <w:i w:val="0"/>
          <w:iCs w:val="0"/>
          <w:caps w:val="0"/>
          <w:color w:val="1C1917"/>
          <w:spacing w:val="0"/>
          <w:sz w:val="27"/>
          <w:szCs w:val="27"/>
        </w:rPr>
        <w:t>数据采集上报的高频化和常态化需求，适配目前98张表更新的数据标准，解决新增上报数据中多源头采集、多方式采集中存在的问题，</w:t>
      </w:r>
      <w:r>
        <w:rPr>
          <w:rFonts w:hint="eastAsia" w:ascii="Helvetica Neue" w:hAnsi="Helvetica Neue" w:eastAsia="宋体" w:cs="Helvetica Neue"/>
          <w:i w:val="0"/>
          <w:iCs w:val="0"/>
          <w:caps w:val="0"/>
          <w:color w:val="1C1917"/>
          <w:spacing w:val="0"/>
          <w:sz w:val="27"/>
          <w:szCs w:val="27"/>
          <w:lang w:val="en-US" w:eastAsia="zh-CN"/>
        </w:rPr>
        <w:t>拟</w:t>
      </w:r>
      <w:bookmarkStart w:id="3" w:name="_GoBack"/>
      <w:bookmarkEnd w:id="3"/>
      <w:r>
        <w:rPr>
          <w:rFonts w:hint="eastAsia" w:ascii="Helvetica Neue" w:hAnsi="Helvetica Neue" w:eastAsia="宋体" w:cs="Helvetica Neue"/>
          <w:i w:val="0"/>
          <w:iCs w:val="0"/>
          <w:caps w:val="0"/>
          <w:color w:val="1C1917"/>
          <w:spacing w:val="0"/>
          <w:sz w:val="27"/>
          <w:szCs w:val="27"/>
          <w:lang w:val="en-US" w:eastAsia="zh-CN"/>
        </w:rPr>
        <w:t>进行</w:t>
      </w:r>
      <w:r>
        <w:rPr>
          <w:rFonts w:hint="default" w:ascii="Helvetica Neue" w:hAnsi="Helvetica Neue" w:eastAsia="Helvetica Neue" w:cs="Helvetica Neue"/>
          <w:i w:val="0"/>
          <w:iCs w:val="0"/>
          <w:caps w:val="0"/>
          <w:color w:val="1C1917"/>
          <w:spacing w:val="0"/>
          <w:sz w:val="27"/>
          <w:szCs w:val="27"/>
        </w:rPr>
        <w:t>教育部院校基座数据采集对接系统项目建设。建设内容主要包括:实现在线填报、爬虫采集、问卷调查等数据采集功能，按照教育职业院校数字基座高职数据标准及接口规范对数据进行清洗整理，实现与社团管理系统、广科智慧党建平台、学生综合素质平台的数据对接。</w:t>
      </w:r>
    </w:p>
    <w:p w14:paraId="11D80D2E">
      <w:pPr>
        <w:pStyle w:val="9"/>
        <w:numPr>
          <w:ilvl w:val="0"/>
          <w:numId w:val="1"/>
        </w:numPr>
        <w:ind w:left="720" w:leftChars="0" w:hanging="720" w:firstLineChars="0"/>
        <w:rPr>
          <w:rFonts w:hint="eastAsia" w:ascii="仿宋" w:hAnsi="仿宋" w:eastAsia="仿宋"/>
          <w:b/>
          <w:color w:val="auto"/>
          <w:sz w:val="32"/>
          <w:szCs w:val="32"/>
        </w:rPr>
      </w:pPr>
      <w:r>
        <w:rPr>
          <w:rFonts w:hint="eastAsia" w:ascii="仿宋" w:hAnsi="仿宋" w:eastAsia="仿宋"/>
          <w:b/>
          <w:color w:val="auto"/>
          <w:sz w:val="32"/>
          <w:szCs w:val="32"/>
        </w:rPr>
        <w:t>系统需求</w:t>
      </w:r>
      <w:bookmarkEnd w:id="1"/>
      <w:bookmarkEnd w:id="2"/>
    </w:p>
    <w:p w14:paraId="3262D613">
      <w:pPr>
        <w:pStyle w:val="9"/>
        <w:widowControl w:val="0"/>
        <w:numPr>
          <w:ilvl w:val="0"/>
          <w:numId w:val="0"/>
        </w:numPr>
        <w:jc w:val="both"/>
        <w:rPr>
          <w:rFonts w:hint="eastAsia" w:ascii="仿宋" w:hAnsi="仿宋" w:eastAsia="仿宋"/>
          <w:b/>
          <w:color w:val="auto"/>
          <w:sz w:val="32"/>
          <w:szCs w:val="32"/>
        </w:rPr>
      </w:pPr>
    </w:p>
    <w:p w14:paraId="034C777A">
      <w:pPr>
        <w:pStyle w:val="9"/>
        <w:widowControl w:val="0"/>
        <w:numPr>
          <w:ilvl w:val="0"/>
          <w:numId w:val="0"/>
        </w:numPr>
        <w:jc w:val="both"/>
        <w:rPr>
          <w:rFonts w:hint="eastAsia" w:ascii="仿宋" w:hAnsi="仿宋" w:eastAsia="仿宋"/>
          <w:b/>
          <w:color w:val="auto"/>
          <w:sz w:val="32"/>
          <w:szCs w:val="32"/>
        </w:rPr>
      </w:pPr>
    </w:p>
    <w:p w14:paraId="62348EB4">
      <w:pPr>
        <w:pStyle w:val="9"/>
        <w:widowControl w:val="0"/>
        <w:numPr>
          <w:ilvl w:val="0"/>
          <w:numId w:val="0"/>
        </w:numPr>
        <w:jc w:val="both"/>
        <w:rPr>
          <w:rFonts w:hint="eastAsia" w:ascii="仿宋" w:hAnsi="仿宋" w:eastAsia="仿宋"/>
          <w:b/>
          <w:color w:val="auto"/>
          <w:sz w:val="32"/>
          <w:szCs w:val="32"/>
        </w:rPr>
      </w:pPr>
    </w:p>
    <w:p w14:paraId="14B5BE57">
      <w:pPr>
        <w:pStyle w:val="9"/>
        <w:widowControl w:val="0"/>
        <w:numPr>
          <w:ilvl w:val="0"/>
          <w:numId w:val="0"/>
        </w:numPr>
        <w:jc w:val="both"/>
        <w:rPr>
          <w:rFonts w:hint="eastAsia" w:ascii="仿宋" w:hAnsi="仿宋" w:eastAsia="仿宋"/>
          <w:b/>
          <w:color w:val="auto"/>
          <w:sz w:val="32"/>
          <w:szCs w:val="32"/>
        </w:rPr>
      </w:pPr>
    </w:p>
    <w:p w14:paraId="7875594B">
      <w:pPr>
        <w:pStyle w:val="9"/>
        <w:widowControl w:val="0"/>
        <w:numPr>
          <w:ilvl w:val="0"/>
          <w:numId w:val="0"/>
        </w:numPr>
        <w:jc w:val="both"/>
        <w:rPr>
          <w:rFonts w:hint="eastAsia" w:ascii="仿宋" w:hAnsi="仿宋" w:eastAsia="仿宋"/>
          <w:b/>
          <w:color w:val="auto"/>
          <w:sz w:val="32"/>
          <w:szCs w:val="32"/>
        </w:rPr>
      </w:pPr>
    </w:p>
    <w:tbl>
      <w:tblPr>
        <w:tblStyle w:val="6"/>
        <w:tblW w:w="4998" w:type="pct"/>
        <w:tblInd w:w="0" w:type="dxa"/>
        <w:tblBorders>
          <w:top w:val="single" w:color="76933C" w:sz="4" w:space="0"/>
          <w:left w:val="single" w:color="76933C" w:sz="4" w:space="0"/>
          <w:bottom w:val="single" w:color="76933C" w:sz="4" w:space="0"/>
          <w:right w:val="single" w:color="76933C" w:sz="4" w:space="0"/>
          <w:insideH w:val="single" w:color="76933C" w:sz="4" w:space="0"/>
          <w:insideV w:val="single" w:color="76933C" w:sz="4" w:space="0"/>
        </w:tblBorders>
        <w:shd w:val="clear" w:color="auto" w:fill="auto"/>
        <w:tblLayout w:type="autofit"/>
        <w:tblCellMar>
          <w:top w:w="0" w:type="dxa"/>
          <w:left w:w="108" w:type="dxa"/>
          <w:bottom w:w="0" w:type="dxa"/>
          <w:right w:w="108" w:type="dxa"/>
        </w:tblCellMar>
      </w:tblPr>
      <w:tblGrid>
        <w:gridCol w:w="901"/>
        <w:gridCol w:w="3884"/>
        <w:gridCol w:w="3734"/>
      </w:tblGrid>
      <w:tr w14:paraId="28530865">
        <w:tblPrEx>
          <w:tblBorders>
            <w:top w:val="single" w:color="76933C" w:sz="4" w:space="0"/>
            <w:left w:val="single" w:color="76933C" w:sz="4" w:space="0"/>
            <w:bottom w:val="single" w:color="76933C" w:sz="4" w:space="0"/>
            <w:right w:val="single" w:color="76933C" w:sz="4" w:space="0"/>
            <w:insideH w:val="single" w:color="76933C" w:sz="4" w:space="0"/>
            <w:insideV w:val="single" w:color="76933C" w:sz="4" w:space="0"/>
          </w:tblBorders>
          <w:shd w:val="clear" w:color="auto" w:fill="auto"/>
          <w:tblCellMar>
            <w:top w:w="0" w:type="dxa"/>
            <w:left w:w="108" w:type="dxa"/>
            <w:bottom w:w="0" w:type="dxa"/>
            <w:right w:w="108" w:type="dxa"/>
          </w:tblCellMar>
        </w:tblPrEx>
        <w:trPr>
          <w:trHeight w:val="408" w:hRule="atLeast"/>
        </w:trPr>
        <w:tc>
          <w:tcPr>
            <w:tcW w:w="529" w:type="pct"/>
            <w:tcBorders>
              <w:tl2br w:val="nil"/>
              <w:tr2bl w:val="nil"/>
            </w:tcBorders>
            <w:shd w:val="clear" w:color="auto" w:fill="76933C"/>
            <w:noWrap/>
            <w:vAlign w:val="center"/>
          </w:tcPr>
          <w:p w14:paraId="0E94A434">
            <w:pPr>
              <w:keepNext w:val="0"/>
              <w:keepLines w:val="0"/>
              <w:widowControl/>
              <w:suppressLineNumbers w:val="0"/>
              <w:jc w:val="left"/>
              <w:textAlignment w:val="center"/>
              <w:rPr>
                <w:rFonts w:ascii="微软雅黑" w:hAnsi="微软雅黑" w:eastAsia="微软雅黑" w:cs="微软雅黑"/>
                <w:i w:val="0"/>
                <w:iCs w:val="0"/>
                <w:color w:val="FFFFFF"/>
                <w:sz w:val="28"/>
                <w:szCs w:val="28"/>
                <w:u w:val="none"/>
              </w:rPr>
            </w:pPr>
            <w:r>
              <w:rPr>
                <w:rFonts w:hint="default" w:ascii="微软雅黑" w:hAnsi="微软雅黑" w:eastAsia="微软雅黑" w:cs="微软雅黑"/>
                <w:i w:val="0"/>
                <w:iCs w:val="0"/>
                <w:color w:val="FFFFFF"/>
                <w:kern w:val="0"/>
                <w:sz w:val="28"/>
                <w:szCs w:val="28"/>
                <w:u w:val="none"/>
                <w:lang w:val="en-US" w:eastAsia="zh-CN" w:bidi="ar"/>
              </w:rPr>
              <w:t>模块</w:t>
            </w:r>
          </w:p>
        </w:tc>
        <w:tc>
          <w:tcPr>
            <w:tcW w:w="2279" w:type="pct"/>
            <w:tcBorders>
              <w:tl2br w:val="nil"/>
              <w:tr2bl w:val="nil"/>
            </w:tcBorders>
            <w:shd w:val="clear" w:color="auto" w:fill="76933C"/>
            <w:noWrap/>
            <w:vAlign w:val="center"/>
          </w:tcPr>
          <w:p w14:paraId="4195893A">
            <w:pPr>
              <w:keepNext w:val="0"/>
              <w:keepLines w:val="0"/>
              <w:widowControl/>
              <w:suppressLineNumbers w:val="0"/>
              <w:jc w:val="left"/>
              <w:textAlignment w:val="center"/>
              <w:rPr>
                <w:rFonts w:hint="default" w:ascii="微软雅黑" w:hAnsi="微软雅黑" w:eastAsia="微软雅黑" w:cs="微软雅黑"/>
                <w:i w:val="0"/>
                <w:iCs w:val="0"/>
                <w:color w:val="FFFFFF"/>
                <w:sz w:val="28"/>
                <w:szCs w:val="28"/>
                <w:u w:val="none"/>
              </w:rPr>
            </w:pPr>
            <w:r>
              <w:rPr>
                <w:rFonts w:hint="default" w:ascii="微软雅黑" w:hAnsi="微软雅黑" w:eastAsia="微软雅黑" w:cs="微软雅黑"/>
                <w:i w:val="0"/>
                <w:iCs w:val="0"/>
                <w:color w:val="FFFFFF"/>
                <w:kern w:val="0"/>
                <w:sz w:val="28"/>
                <w:szCs w:val="28"/>
                <w:u w:val="none"/>
                <w:lang w:val="en-US" w:eastAsia="zh-CN" w:bidi="ar"/>
              </w:rPr>
              <w:t>功能项</w:t>
            </w:r>
          </w:p>
        </w:tc>
        <w:tc>
          <w:tcPr>
            <w:tcW w:w="2191" w:type="pct"/>
            <w:tcBorders>
              <w:tl2br w:val="nil"/>
              <w:tr2bl w:val="nil"/>
            </w:tcBorders>
            <w:shd w:val="clear" w:color="auto" w:fill="76933C"/>
            <w:noWrap/>
            <w:vAlign w:val="center"/>
          </w:tcPr>
          <w:p w14:paraId="5318EFEE">
            <w:pPr>
              <w:keepNext w:val="0"/>
              <w:keepLines w:val="0"/>
              <w:widowControl/>
              <w:suppressLineNumbers w:val="0"/>
              <w:jc w:val="left"/>
              <w:textAlignment w:val="center"/>
              <w:rPr>
                <w:rFonts w:hint="default" w:ascii="微软雅黑" w:hAnsi="微软雅黑" w:eastAsia="微软雅黑" w:cs="微软雅黑"/>
                <w:i w:val="0"/>
                <w:iCs w:val="0"/>
                <w:color w:val="FFFFFF"/>
                <w:sz w:val="28"/>
                <w:szCs w:val="28"/>
                <w:u w:val="none"/>
              </w:rPr>
            </w:pPr>
            <w:r>
              <w:rPr>
                <w:rFonts w:hint="default" w:ascii="微软雅黑" w:hAnsi="微软雅黑" w:eastAsia="微软雅黑" w:cs="微软雅黑"/>
                <w:i w:val="0"/>
                <w:iCs w:val="0"/>
                <w:color w:val="FFFFFF"/>
                <w:kern w:val="0"/>
                <w:sz w:val="28"/>
                <w:szCs w:val="28"/>
                <w:u w:val="none"/>
                <w:lang w:val="en-US" w:eastAsia="zh-CN" w:bidi="ar"/>
              </w:rPr>
              <w:t>说明</w:t>
            </w:r>
          </w:p>
        </w:tc>
      </w:tr>
      <w:tr w14:paraId="271443D8">
        <w:tblPrEx>
          <w:tblBorders>
            <w:top w:val="single" w:color="76933C" w:sz="4" w:space="0"/>
            <w:left w:val="single" w:color="76933C" w:sz="4" w:space="0"/>
            <w:bottom w:val="single" w:color="76933C" w:sz="4" w:space="0"/>
            <w:right w:val="single" w:color="76933C" w:sz="4" w:space="0"/>
            <w:insideH w:val="single" w:color="76933C" w:sz="4" w:space="0"/>
            <w:insideV w:val="single" w:color="76933C" w:sz="4" w:space="0"/>
          </w:tblBorders>
          <w:tblCellMar>
            <w:top w:w="0" w:type="dxa"/>
            <w:left w:w="108" w:type="dxa"/>
            <w:bottom w:w="0" w:type="dxa"/>
            <w:right w:w="108" w:type="dxa"/>
          </w:tblCellMar>
        </w:tblPrEx>
        <w:trPr>
          <w:trHeight w:val="352" w:hRule="atLeast"/>
        </w:trPr>
        <w:tc>
          <w:tcPr>
            <w:tcW w:w="529" w:type="pct"/>
            <w:vMerge w:val="restart"/>
            <w:tcBorders>
              <w:tl2br w:val="nil"/>
              <w:tr2bl w:val="nil"/>
            </w:tcBorders>
            <w:shd w:val="clear" w:color="auto" w:fill="auto"/>
            <w:vAlign w:val="center"/>
          </w:tcPr>
          <w:p w14:paraId="6EA6DEBC">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数据信息采集系统</w:t>
            </w:r>
          </w:p>
        </w:tc>
        <w:tc>
          <w:tcPr>
            <w:tcW w:w="2279" w:type="pct"/>
            <w:tcBorders>
              <w:tl2br w:val="nil"/>
              <w:tr2bl w:val="nil"/>
            </w:tcBorders>
            <w:shd w:val="clear" w:color="auto" w:fill="auto"/>
            <w:noWrap/>
            <w:vAlign w:val="center"/>
          </w:tcPr>
          <w:p w14:paraId="6A94A13E">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后台模型设计</w:t>
            </w:r>
          </w:p>
        </w:tc>
        <w:tc>
          <w:tcPr>
            <w:tcW w:w="2191" w:type="pct"/>
            <w:tcBorders>
              <w:tl2br w:val="nil"/>
              <w:tr2bl w:val="nil"/>
            </w:tcBorders>
            <w:shd w:val="clear" w:color="auto" w:fill="auto"/>
            <w:noWrap/>
            <w:vAlign w:val="center"/>
          </w:tcPr>
          <w:p w14:paraId="40477CEE">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开发存储数据库模型和关系设计</w:t>
            </w:r>
          </w:p>
        </w:tc>
      </w:tr>
      <w:tr w14:paraId="68B8484A">
        <w:tblPrEx>
          <w:tblBorders>
            <w:top w:val="single" w:color="76933C" w:sz="4" w:space="0"/>
            <w:left w:val="single" w:color="76933C" w:sz="4" w:space="0"/>
            <w:bottom w:val="single" w:color="76933C" w:sz="4" w:space="0"/>
            <w:right w:val="single" w:color="76933C" w:sz="4" w:space="0"/>
            <w:insideH w:val="single" w:color="76933C" w:sz="4" w:space="0"/>
            <w:insideV w:val="single" w:color="76933C" w:sz="4" w:space="0"/>
          </w:tblBorders>
          <w:shd w:val="clear" w:color="auto" w:fill="auto"/>
          <w:tblCellMar>
            <w:top w:w="0" w:type="dxa"/>
            <w:left w:w="108" w:type="dxa"/>
            <w:bottom w:w="0" w:type="dxa"/>
            <w:right w:w="108" w:type="dxa"/>
          </w:tblCellMar>
        </w:tblPrEx>
        <w:trPr>
          <w:trHeight w:val="352" w:hRule="atLeast"/>
        </w:trPr>
        <w:tc>
          <w:tcPr>
            <w:tcW w:w="529" w:type="pct"/>
            <w:vMerge w:val="continue"/>
            <w:tcBorders>
              <w:tl2br w:val="nil"/>
              <w:tr2bl w:val="nil"/>
            </w:tcBorders>
            <w:shd w:val="clear" w:color="auto" w:fill="auto"/>
            <w:vAlign w:val="center"/>
          </w:tcPr>
          <w:p w14:paraId="4DF2D4DA">
            <w:pPr>
              <w:jc w:val="center"/>
              <w:rPr>
                <w:rFonts w:hint="default" w:ascii="微软雅黑" w:hAnsi="微软雅黑" w:eastAsia="微软雅黑" w:cs="微软雅黑"/>
                <w:i w:val="0"/>
                <w:iCs w:val="0"/>
                <w:color w:val="000000"/>
                <w:sz w:val="22"/>
                <w:szCs w:val="22"/>
                <w:u w:val="none"/>
              </w:rPr>
            </w:pPr>
          </w:p>
        </w:tc>
        <w:tc>
          <w:tcPr>
            <w:tcW w:w="2279" w:type="pct"/>
            <w:tcBorders>
              <w:tl2br w:val="nil"/>
              <w:tr2bl w:val="nil"/>
            </w:tcBorders>
            <w:shd w:val="clear" w:color="auto" w:fill="auto"/>
            <w:noWrap/>
            <w:vAlign w:val="center"/>
          </w:tcPr>
          <w:p w14:paraId="2896D14E">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后台接口设计</w:t>
            </w:r>
          </w:p>
        </w:tc>
        <w:tc>
          <w:tcPr>
            <w:tcW w:w="2191" w:type="pct"/>
            <w:tcBorders>
              <w:tl2br w:val="nil"/>
              <w:tr2bl w:val="nil"/>
            </w:tcBorders>
            <w:shd w:val="clear" w:color="auto" w:fill="auto"/>
            <w:noWrap/>
            <w:vAlign w:val="center"/>
          </w:tcPr>
          <w:p w14:paraId="64BF73CF">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后端的接口设计</w:t>
            </w:r>
          </w:p>
        </w:tc>
      </w:tr>
      <w:tr w14:paraId="62EB46DB">
        <w:tblPrEx>
          <w:tblBorders>
            <w:top w:val="single" w:color="76933C" w:sz="4" w:space="0"/>
            <w:left w:val="single" w:color="76933C" w:sz="4" w:space="0"/>
            <w:bottom w:val="single" w:color="76933C" w:sz="4" w:space="0"/>
            <w:right w:val="single" w:color="76933C" w:sz="4" w:space="0"/>
            <w:insideH w:val="single" w:color="76933C" w:sz="4" w:space="0"/>
            <w:insideV w:val="single" w:color="76933C" w:sz="4" w:space="0"/>
          </w:tblBorders>
          <w:shd w:val="clear" w:color="auto" w:fill="auto"/>
          <w:tblCellMar>
            <w:top w:w="0" w:type="dxa"/>
            <w:left w:w="108" w:type="dxa"/>
            <w:bottom w:w="0" w:type="dxa"/>
            <w:right w:w="108" w:type="dxa"/>
          </w:tblCellMar>
        </w:tblPrEx>
        <w:trPr>
          <w:trHeight w:val="680" w:hRule="atLeast"/>
        </w:trPr>
        <w:tc>
          <w:tcPr>
            <w:tcW w:w="529" w:type="pct"/>
            <w:vMerge w:val="continue"/>
            <w:tcBorders>
              <w:tl2br w:val="nil"/>
              <w:tr2bl w:val="nil"/>
            </w:tcBorders>
            <w:shd w:val="clear" w:color="auto" w:fill="auto"/>
            <w:vAlign w:val="center"/>
          </w:tcPr>
          <w:p w14:paraId="68997457">
            <w:pPr>
              <w:jc w:val="center"/>
              <w:rPr>
                <w:rFonts w:hint="default" w:ascii="微软雅黑" w:hAnsi="微软雅黑" w:eastAsia="微软雅黑" w:cs="微软雅黑"/>
                <w:i w:val="0"/>
                <w:iCs w:val="0"/>
                <w:color w:val="000000"/>
                <w:sz w:val="22"/>
                <w:szCs w:val="22"/>
                <w:u w:val="none"/>
              </w:rPr>
            </w:pPr>
          </w:p>
        </w:tc>
        <w:tc>
          <w:tcPr>
            <w:tcW w:w="2279" w:type="pct"/>
            <w:tcBorders>
              <w:tl2br w:val="nil"/>
              <w:tr2bl w:val="nil"/>
            </w:tcBorders>
            <w:shd w:val="clear" w:color="auto" w:fill="auto"/>
            <w:noWrap/>
            <w:vAlign w:val="center"/>
          </w:tcPr>
          <w:p w14:paraId="7068F71A">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用户自定义表格填写-模板设计</w:t>
            </w:r>
          </w:p>
        </w:tc>
        <w:tc>
          <w:tcPr>
            <w:tcW w:w="2191" w:type="pct"/>
            <w:tcBorders>
              <w:tl2br w:val="nil"/>
              <w:tr2bl w:val="nil"/>
            </w:tcBorders>
            <w:shd w:val="clear" w:color="auto" w:fill="auto"/>
            <w:vAlign w:val="center"/>
          </w:tcPr>
          <w:p w14:paraId="65712711">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用户自定义表格填写功能提供多种预设模板供选择，适用于不同场景的需求，同时也支持用户根据自身需要创建新的表格结构。</w:t>
            </w:r>
          </w:p>
        </w:tc>
      </w:tr>
      <w:tr w14:paraId="63AC82FB">
        <w:tblPrEx>
          <w:tblBorders>
            <w:top w:val="single" w:color="76933C" w:sz="4" w:space="0"/>
            <w:left w:val="single" w:color="76933C" w:sz="4" w:space="0"/>
            <w:bottom w:val="single" w:color="76933C" w:sz="4" w:space="0"/>
            <w:right w:val="single" w:color="76933C" w:sz="4" w:space="0"/>
            <w:insideH w:val="single" w:color="76933C" w:sz="4" w:space="0"/>
            <w:insideV w:val="single" w:color="76933C" w:sz="4" w:space="0"/>
          </w:tblBorders>
          <w:shd w:val="clear" w:color="auto" w:fill="auto"/>
          <w:tblCellMar>
            <w:top w:w="0" w:type="dxa"/>
            <w:left w:w="108" w:type="dxa"/>
            <w:bottom w:w="0" w:type="dxa"/>
            <w:right w:w="108" w:type="dxa"/>
          </w:tblCellMar>
        </w:tblPrEx>
        <w:trPr>
          <w:trHeight w:val="680" w:hRule="atLeast"/>
        </w:trPr>
        <w:tc>
          <w:tcPr>
            <w:tcW w:w="529" w:type="pct"/>
            <w:vMerge w:val="continue"/>
            <w:tcBorders>
              <w:tl2br w:val="nil"/>
              <w:tr2bl w:val="nil"/>
            </w:tcBorders>
            <w:shd w:val="clear" w:color="auto" w:fill="auto"/>
            <w:vAlign w:val="center"/>
          </w:tcPr>
          <w:p w14:paraId="079DA1B5">
            <w:pPr>
              <w:jc w:val="center"/>
              <w:rPr>
                <w:rFonts w:hint="default" w:ascii="微软雅黑" w:hAnsi="微软雅黑" w:eastAsia="微软雅黑" w:cs="微软雅黑"/>
                <w:i w:val="0"/>
                <w:iCs w:val="0"/>
                <w:color w:val="000000"/>
                <w:sz w:val="22"/>
                <w:szCs w:val="22"/>
                <w:u w:val="none"/>
              </w:rPr>
            </w:pPr>
          </w:p>
        </w:tc>
        <w:tc>
          <w:tcPr>
            <w:tcW w:w="2279" w:type="pct"/>
            <w:tcBorders>
              <w:tl2br w:val="nil"/>
              <w:tr2bl w:val="nil"/>
            </w:tcBorders>
            <w:shd w:val="clear" w:color="auto" w:fill="auto"/>
            <w:noWrap/>
            <w:vAlign w:val="center"/>
          </w:tcPr>
          <w:p w14:paraId="4554BB9C">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用户自定义表格填写-在线填写与提交</w:t>
            </w:r>
          </w:p>
        </w:tc>
        <w:tc>
          <w:tcPr>
            <w:tcW w:w="2191" w:type="pct"/>
            <w:tcBorders>
              <w:tl2br w:val="nil"/>
              <w:tr2bl w:val="nil"/>
            </w:tcBorders>
            <w:shd w:val="clear" w:color="auto" w:fill="auto"/>
            <w:vAlign w:val="center"/>
          </w:tcPr>
          <w:p w14:paraId="1E1F13C8">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用户自定义表格填写功能支持在线填写与提交，用户可以直接在平台上填写所需信息，并一键提交到系统中。这样不仅简化了数据收集流程，还确保了信息的即时性和准确性。</w:t>
            </w:r>
          </w:p>
        </w:tc>
      </w:tr>
      <w:tr w14:paraId="315029D2">
        <w:tblPrEx>
          <w:tblBorders>
            <w:top w:val="single" w:color="76933C" w:sz="4" w:space="0"/>
            <w:left w:val="single" w:color="76933C" w:sz="4" w:space="0"/>
            <w:bottom w:val="single" w:color="76933C" w:sz="4" w:space="0"/>
            <w:right w:val="single" w:color="76933C" w:sz="4" w:space="0"/>
            <w:insideH w:val="single" w:color="76933C" w:sz="4" w:space="0"/>
            <w:insideV w:val="single" w:color="76933C" w:sz="4" w:space="0"/>
          </w:tblBorders>
          <w:shd w:val="clear" w:color="auto" w:fill="auto"/>
          <w:tblCellMar>
            <w:top w:w="0" w:type="dxa"/>
            <w:left w:w="108" w:type="dxa"/>
            <w:bottom w:w="0" w:type="dxa"/>
            <w:right w:w="108" w:type="dxa"/>
          </w:tblCellMar>
        </w:tblPrEx>
        <w:trPr>
          <w:trHeight w:val="1020" w:hRule="atLeast"/>
        </w:trPr>
        <w:tc>
          <w:tcPr>
            <w:tcW w:w="529" w:type="pct"/>
            <w:vMerge w:val="continue"/>
            <w:tcBorders>
              <w:tl2br w:val="nil"/>
              <w:tr2bl w:val="nil"/>
            </w:tcBorders>
            <w:shd w:val="clear" w:color="auto" w:fill="auto"/>
            <w:vAlign w:val="center"/>
          </w:tcPr>
          <w:p w14:paraId="1A59542C">
            <w:pPr>
              <w:jc w:val="center"/>
              <w:rPr>
                <w:rFonts w:hint="default" w:ascii="微软雅黑" w:hAnsi="微软雅黑" w:eastAsia="微软雅黑" w:cs="微软雅黑"/>
                <w:i w:val="0"/>
                <w:iCs w:val="0"/>
                <w:color w:val="000000"/>
                <w:sz w:val="22"/>
                <w:szCs w:val="22"/>
                <w:u w:val="none"/>
              </w:rPr>
            </w:pPr>
          </w:p>
        </w:tc>
        <w:tc>
          <w:tcPr>
            <w:tcW w:w="2279" w:type="pct"/>
            <w:tcBorders>
              <w:tl2br w:val="nil"/>
              <w:tr2bl w:val="nil"/>
            </w:tcBorders>
            <w:shd w:val="clear" w:color="auto" w:fill="auto"/>
            <w:noWrap/>
            <w:vAlign w:val="center"/>
          </w:tcPr>
          <w:p w14:paraId="2B2BC57B">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用户自定义表格填写-进度追踪</w:t>
            </w:r>
          </w:p>
        </w:tc>
        <w:tc>
          <w:tcPr>
            <w:tcW w:w="2191" w:type="pct"/>
            <w:tcBorders>
              <w:tl2br w:val="nil"/>
              <w:tr2bl w:val="nil"/>
            </w:tcBorders>
            <w:shd w:val="clear" w:color="auto" w:fill="auto"/>
            <w:vAlign w:val="center"/>
          </w:tcPr>
          <w:p w14:paraId="63E36221">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用户自定义表格填写功能中的进度追踪可以让管理员轻松监控每个用户的填写状态。系统会清晰地展示每位用户是否正在填写中还是已经完成提交，帮助管理者快速了解整体的填写进度。</w:t>
            </w:r>
          </w:p>
        </w:tc>
      </w:tr>
      <w:tr w14:paraId="308C5EAC">
        <w:tblPrEx>
          <w:tblBorders>
            <w:top w:val="single" w:color="76933C" w:sz="4" w:space="0"/>
            <w:left w:val="single" w:color="76933C" w:sz="4" w:space="0"/>
            <w:bottom w:val="single" w:color="76933C" w:sz="4" w:space="0"/>
            <w:right w:val="single" w:color="76933C" w:sz="4" w:space="0"/>
            <w:insideH w:val="single" w:color="76933C" w:sz="4" w:space="0"/>
            <w:insideV w:val="single" w:color="76933C" w:sz="4" w:space="0"/>
          </w:tblBorders>
          <w:tblCellMar>
            <w:top w:w="0" w:type="dxa"/>
            <w:left w:w="108" w:type="dxa"/>
            <w:bottom w:w="0" w:type="dxa"/>
            <w:right w:w="108" w:type="dxa"/>
          </w:tblCellMar>
        </w:tblPrEx>
        <w:trPr>
          <w:trHeight w:val="1360" w:hRule="atLeast"/>
        </w:trPr>
        <w:tc>
          <w:tcPr>
            <w:tcW w:w="529" w:type="pct"/>
            <w:vMerge w:val="continue"/>
            <w:tcBorders>
              <w:tl2br w:val="nil"/>
              <w:tr2bl w:val="nil"/>
            </w:tcBorders>
            <w:shd w:val="clear" w:color="auto" w:fill="auto"/>
            <w:vAlign w:val="center"/>
          </w:tcPr>
          <w:p w14:paraId="71BF3C48">
            <w:pPr>
              <w:jc w:val="center"/>
              <w:rPr>
                <w:rFonts w:hint="default" w:ascii="微软雅黑" w:hAnsi="微软雅黑" w:eastAsia="微软雅黑" w:cs="微软雅黑"/>
                <w:i w:val="0"/>
                <w:iCs w:val="0"/>
                <w:color w:val="000000"/>
                <w:sz w:val="22"/>
                <w:szCs w:val="22"/>
                <w:u w:val="none"/>
              </w:rPr>
            </w:pPr>
          </w:p>
        </w:tc>
        <w:tc>
          <w:tcPr>
            <w:tcW w:w="2279" w:type="pct"/>
            <w:tcBorders>
              <w:tl2br w:val="nil"/>
              <w:tr2bl w:val="nil"/>
            </w:tcBorders>
            <w:shd w:val="clear" w:color="auto" w:fill="auto"/>
            <w:noWrap/>
            <w:vAlign w:val="center"/>
          </w:tcPr>
          <w:p w14:paraId="2C750229">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网站数据爬取-爬虫配置</w:t>
            </w:r>
          </w:p>
        </w:tc>
        <w:tc>
          <w:tcPr>
            <w:tcW w:w="2191" w:type="pct"/>
            <w:tcBorders>
              <w:tl2br w:val="nil"/>
              <w:tr2bl w:val="nil"/>
            </w:tcBorders>
            <w:shd w:val="clear" w:color="auto" w:fill="auto"/>
            <w:vAlign w:val="center"/>
          </w:tcPr>
          <w:p w14:paraId="0DF66AB0">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网站数据爬取功能中的爬虫配置选项让管理员能够轻松指定目标网站的URL以及所需抓取的具体信息类型，比如新闻文章、活动通知等。通过直观的界面，管理员可以设定详细的爬取规则，包括选择特定的网页元素、设置抓取频率和时间范围等，从而确保获取的数据既准确又及时。</w:t>
            </w:r>
          </w:p>
        </w:tc>
      </w:tr>
      <w:tr w14:paraId="267474C6">
        <w:tblPrEx>
          <w:tblBorders>
            <w:top w:val="single" w:color="76933C" w:sz="4" w:space="0"/>
            <w:left w:val="single" w:color="76933C" w:sz="4" w:space="0"/>
            <w:bottom w:val="single" w:color="76933C" w:sz="4" w:space="0"/>
            <w:right w:val="single" w:color="76933C" w:sz="4" w:space="0"/>
            <w:insideH w:val="single" w:color="76933C" w:sz="4" w:space="0"/>
            <w:insideV w:val="single" w:color="76933C" w:sz="4" w:space="0"/>
          </w:tblBorders>
          <w:tblCellMar>
            <w:top w:w="0" w:type="dxa"/>
            <w:left w:w="108" w:type="dxa"/>
            <w:bottom w:w="0" w:type="dxa"/>
            <w:right w:w="108" w:type="dxa"/>
          </w:tblCellMar>
        </w:tblPrEx>
        <w:trPr>
          <w:trHeight w:val="1020" w:hRule="atLeast"/>
        </w:trPr>
        <w:tc>
          <w:tcPr>
            <w:tcW w:w="529" w:type="pct"/>
            <w:vMerge w:val="continue"/>
            <w:tcBorders>
              <w:tl2br w:val="nil"/>
              <w:tr2bl w:val="nil"/>
            </w:tcBorders>
            <w:shd w:val="clear" w:color="auto" w:fill="auto"/>
            <w:vAlign w:val="center"/>
          </w:tcPr>
          <w:p w14:paraId="51DAD1E2">
            <w:pPr>
              <w:jc w:val="center"/>
              <w:rPr>
                <w:rFonts w:hint="default" w:ascii="微软雅黑" w:hAnsi="微软雅黑" w:eastAsia="微软雅黑" w:cs="微软雅黑"/>
                <w:i w:val="0"/>
                <w:iCs w:val="0"/>
                <w:color w:val="000000"/>
                <w:sz w:val="22"/>
                <w:szCs w:val="22"/>
                <w:u w:val="none"/>
              </w:rPr>
            </w:pPr>
          </w:p>
        </w:tc>
        <w:tc>
          <w:tcPr>
            <w:tcW w:w="2279" w:type="pct"/>
            <w:tcBorders>
              <w:tl2br w:val="nil"/>
              <w:tr2bl w:val="nil"/>
            </w:tcBorders>
            <w:shd w:val="clear" w:color="auto" w:fill="auto"/>
            <w:noWrap/>
            <w:vAlign w:val="center"/>
          </w:tcPr>
          <w:p w14:paraId="79EF5C6F">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网站数据爬取-定时任务</w:t>
            </w:r>
          </w:p>
        </w:tc>
        <w:tc>
          <w:tcPr>
            <w:tcW w:w="2191" w:type="pct"/>
            <w:tcBorders>
              <w:tl2br w:val="nil"/>
              <w:tr2bl w:val="nil"/>
            </w:tcBorders>
            <w:shd w:val="clear" w:color="auto" w:fill="auto"/>
            <w:vAlign w:val="center"/>
          </w:tcPr>
          <w:p w14:paraId="617B43CF">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网站数据爬取功能中的定时任务允许管理员设定自动执行爬虫的时间计划。管理员可以配置具体的日期和时间，或者设置定期重复的任务（如每天、每周或每月的特定时间），以确保数据能够按照预设的时间间隔自动更新。</w:t>
            </w:r>
          </w:p>
        </w:tc>
      </w:tr>
      <w:tr w14:paraId="61F13776">
        <w:tblPrEx>
          <w:tblBorders>
            <w:top w:val="single" w:color="76933C" w:sz="4" w:space="0"/>
            <w:left w:val="single" w:color="76933C" w:sz="4" w:space="0"/>
            <w:bottom w:val="single" w:color="76933C" w:sz="4" w:space="0"/>
            <w:right w:val="single" w:color="76933C" w:sz="4" w:space="0"/>
            <w:insideH w:val="single" w:color="76933C" w:sz="4" w:space="0"/>
            <w:insideV w:val="single" w:color="76933C" w:sz="4" w:space="0"/>
          </w:tblBorders>
          <w:shd w:val="clear" w:color="auto" w:fill="auto"/>
          <w:tblCellMar>
            <w:top w:w="0" w:type="dxa"/>
            <w:left w:w="108" w:type="dxa"/>
            <w:bottom w:w="0" w:type="dxa"/>
            <w:right w:w="108" w:type="dxa"/>
          </w:tblCellMar>
        </w:tblPrEx>
        <w:trPr>
          <w:trHeight w:val="1680" w:hRule="atLeast"/>
        </w:trPr>
        <w:tc>
          <w:tcPr>
            <w:tcW w:w="529" w:type="pct"/>
            <w:vMerge w:val="continue"/>
            <w:tcBorders>
              <w:tl2br w:val="nil"/>
              <w:tr2bl w:val="nil"/>
            </w:tcBorders>
            <w:shd w:val="clear" w:color="auto" w:fill="auto"/>
            <w:vAlign w:val="center"/>
          </w:tcPr>
          <w:p w14:paraId="42B87594">
            <w:pPr>
              <w:jc w:val="center"/>
              <w:rPr>
                <w:rFonts w:hint="default" w:ascii="微软雅黑" w:hAnsi="微软雅黑" w:eastAsia="微软雅黑" w:cs="微软雅黑"/>
                <w:i w:val="0"/>
                <w:iCs w:val="0"/>
                <w:color w:val="000000"/>
                <w:sz w:val="22"/>
                <w:szCs w:val="22"/>
                <w:u w:val="none"/>
              </w:rPr>
            </w:pPr>
          </w:p>
        </w:tc>
        <w:tc>
          <w:tcPr>
            <w:tcW w:w="2279" w:type="pct"/>
            <w:tcBorders>
              <w:tl2br w:val="nil"/>
              <w:tr2bl w:val="nil"/>
            </w:tcBorders>
            <w:shd w:val="clear" w:color="auto" w:fill="auto"/>
            <w:noWrap/>
            <w:vAlign w:val="center"/>
          </w:tcPr>
          <w:p w14:paraId="2E8EAA65">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网站数据爬取-数据解析与存储</w:t>
            </w:r>
          </w:p>
        </w:tc>
        <w:tc>
          <w:tcPr>
            <w:tcW w:w="2191" w:type="pct"/>
            <w:tcBorders>
              <w:tl2br w:val="nil"/>
              <w:tr2bl w:val="nil"/>
            </w:tcBorders>
            <w:shd w:val="clear" w:color="auto" w:fill="auto"/>
            <w:vAlign w:val="center"/>
          </w:tcPr>
          <w:p w14:paraId="1E5264BF">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网站数据爬取功能中的数据解析与存储环节能够从网页中提取有效内容，并按照预定义的格式保存为表格文件。具体来说，系统会根据管理员设定的规则自动识别和抓取网页上的关键信息，如文本、日期、链接等，并将这些数据解析成结构化的形式。之后，这些结构化数据会被转换并保存为常见的表格文件格式，例如CSV或Excel文件，方便进一步的数据处理和分析。</w:t>
            </w:r>
          </w:p>
        </w:tc>
      </w:tr>
      <w:tr w14:paraId="639ED405">
        <w:tblPrEx>
          <w:tblBorders>
            <w:top w:val="single" w:color="76933C" w:sz="4" w:space="0"/>
            <w:left w:val="single" w:color="76933C" w:sz="4" w:space="0"/>
            <w:bottom w:val="single" w:color="76933C" w:sz="4" w:space="0"/>
            <w:right w:val="single" w:color="76933C" w:sz="4" w:space="0"/>
            <w:insideH w:val="single" w:color="76933C" w:sz="4" w:space="0"/>
            <w:insideV w:val="single" w:color="76933C" w:sz="4" w:space="0"/>
          </w:tblBorders>
          <w:shd w:val="clear" w:color="auto" w:fill="auto"/>
          <w:tblCellMar>
            <w:top w:w="0" w:type="dxa"/>
            <w:left w:w="108" w:type="dxa"/>
            <w:bottom w:w="0" w:type="dxa"/>
            <w:right w:w="108" w:type="dxa"/>
          </w:tblCellMar>
        </w:tblPrEx>
        <w:trPr>
          <w:trHeight w:val="680" w:hRule="atLeast"/>
        </w:trPr>
        <w:tc>
          <w:tcPr>
            <w:tcW w:w="529" w:type="pct"/>
            <w:vMerge w:val="continue"/>
            <w:tcBorders>
              <w:tl2br w:val="nil"/>
              <w:tr2bl w:val="nil"/>
            </w:tcBorders>
            <w:shd w:val="clear" w:color="auto" w:fill="auto"/>
            <w:vAlign w:val="center"/>
          </w:tcPr>
          <w:p w14:paraId="15525401">
            <w:pPr>
              <w:jc w:val="center"/>
              <w:rPr>
                <w:rFonts w:hint="default" w:ascii="微软雅黑" w:hAnsi="微软雅黑" w:eastAsia="微软雅黑" w:cs="微软雅黑"/>
                <w:i w:val="0"/>
                <w:iCs w:val="0"/>
                <w:color w:val="000000"/>
                <w:sz w:val="22"/>
                <w:szCs w:val="22"/>
                <w:u w:val="none"/>
              </w:rPr>
            </w:pPr>
          </w:p>
        </w:tc>
        <w:tc>
          <w:tcPr>
            <w:tcW w:w="2279" w:type="pct"/>
            <w:tcBorders>
              <w:tl2br w:val="nil"/>
              <w:tr2bl w:val="nil"/>
            </w:tcBorders>
            <w:shd w:val="clear" w:color="auto" w:fill="auto"/>
            <w:noWrap/>
            <w:vAlign w:val="center"/>
          </w:tcPr>
          <w:p w14:paraId="74DBA9DB">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网站数据爬取-异常处理机制</w:t>
            </w:r>
          </w:p>
        </w:tc>
        <w:tc>
          <w:tcPr>
            <w:tcW w:w="2191" w:type="pct"/>
            <w:tcBorders>
              <w:tl2br w:val="nil"/>
              <w:tr2bl w:val="nil"/>
            </w:tcBorders>
            <w:shd w:val="clear" w:color="auto" w:fill="auto"/>
            <w:vAlign w:val="center"/>
          </w:tcPr>
          <w:p w14:paraId="04CCD2E6">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当爬虫在抓取过程中遇到问题，如目标网站暂时不可用、网络连接中断或页面结构变化导致解析失败等情况时，系统会自动检测这些异常，并采取相应的措施。</w:t>
            </w:r>
          </w:p>
        </w:tc>
      </w:tr>
      <w:tr w14:paraId="1A4A7AA8">
        <w:tblPrEx>
          <w:tblBorders>
            <w:top w:val="single" w:color="76933C" w:sz="4" w:space="0"/>
            <w:left w:val="single" w:color="76933C" w:sz="4" w:space="0"/>
            <w:bottom w:val="single" w:color="76933C" w:sz="4" w:space="0"/>
            <w:right w:val="single" w:color="76933C" w:sz="4" w:space="0"/>
            <w:insideH w:val="single" w:color="76933C" w:sz="4" w:space="0"/>
            <w:insideV w:val="single" w:color="76933C" w:sz="4" w:space="0"/>
          </w:tblBorders>
          <w:tblCellMar>
            <w:top w:w="0" w:type="dxa"/>
            <w:left w:w="108" w:type="dxa"/>
            <w:bottom w:w="0" w:type="dxa"/>
            <w:right w:w="108" w:type="dxa"/>
          </w:tblCellMar>
        </w:tblPrEx>
        <w:trPr>
          <w:trHeight w:val="1020" w:hRule="atLeast"/>
        </w:trPr>
        <w:tc>
          <w:tcPr>
            <w:tcW w:w="529" w:type="pct"/>
            <w:vMerge w:val="continue"/>
            <w:tcBorders>
              <w:tl2br w:val="nil"/>
              <w:tr2bl w:val="nil"/>
            </w:tcBorders>
            <w:shd w:val="clear" w:color="auto" w:fill="auto"/>
            <w:vAlign w:val="center"/>
          </w:tcPr>
          <w:p w14:paraId="4D4BF723">
            <w:pPr>
              <w:jc w:val="center"/>
              <w:rPr>
                <w:rFonts w:hint="default" w:ascii="微软雅黑" w:hAnsi="微软雅黑" w:eastAsia="微软雅黑" w:cs="微软雅黑"/>
                <w:i w:val="0"/>
                <w:iCs w:val="0"/>
                <w:color w:val="000000"/>
                <w:sz w:val="22"/>
                <w:szCs w:val="22"/>
                <w:u w:val="none"/>
              </w:rPr>
            </w:pPr>
          </w:p>
        </w:tc>
        <w:tc>
          <w:tcPr>
            <w:tcW w:w="2279" w:type="pct"/>
            <w:tcBorders>
              <w:tl2br w:val="nil"/>
              <w:tr2bl w:val="nil"/>
            </w:tcBorders>
            <w:shd w:val="clear" w:color="auto" w:fill="auto"/>
            <w:noWrap/>
            <w:vAlign w:val="center"/>
          </w:tcPr>
          <w:p w14:paraId="0D84C2A7">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调查表发布与回收-调查问卷创建</w:t>
            </w:r>
          </w:p>
        </w:tc>
        <w:tc>
          <w:tcPr>
            <w:tcW w:w="2191" w:type="pct"/>
            <w:tcBorders>
              <w:tl2br w:val="nil"/>
              <w:tr2bl w:val="nil"/>
            </w:tcBorders>
            <w:shd w:val="clear" w:color="auto" w:fill="auto"/>
            <w:vAlign w:val="center"/>
          </w:tcPr>
          <w:p w14:paraId="570B2211">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定期的网站状态检查，默认情况下每5分钟执行一次，但用户可以轻松调整这个时间间隔以适应不同的监控需求。脚本支持同时监控多个网站，用户可以通过简单的配置文件添加、删除或修改要监控的网站列表。</w:t>
            </w:r>
          </w:p>
        </w:tc>
      </w:tr>
      <w:tr w14:paraId="1A5E1314">
        <w:tblPrEx>
          <w:tblBorders>
            <w:top w:val="single" w:color="76933C" w:sz="4" w:space="0"/>
            <w:left w:val="single" w:color="76933C" w:sz="4" w:space="0"/>
            <w:bottom w:val="single" w:color="76933C" w:sz="4" w:space="0"/>
            <w:right w:val="single" w:color="76933C" w:sz="4" w:space="0"/>
            <w:insideH w:val="single" w:color="76933C" w:sz="4" w:space="0"/>
            <w:insideV w:val="single" w:color="76933C" w:sz="4" w:space="0"/>
          </w:tblBorders>
          <w:shd w:val="clear" w:color="auto" w:fill="auto"/>
          <w:tblCellMar>
            <w:top w:w="0" w:type="dxa"/>
            <w:left w:w="108" w:type="dxa"/>
            <w:bottom w:w="0" w:type="dxa"/>
            <w:right w:w="108" w:type="dxa"/>
          </w:tblCellMar>
        </w:tblPrEx>
        <w:trPr>
          <w:trHeight w:val="1360" w:hRule="atLeast"/>
        </w:trPr>
        <w:tc>
          <w:tcPr>
            <w:tcW w:w="529" w:type="pct"/>
            <w:vMerge w:val="continue"/>
            <w:tcBorders>
              <w:tl2br w:val="nil"/>
              <w:tr2bl w:val="nil"/>
            </w:tcBorders>
            <w:shd w:val="clear" w:color="auto" w:fill="auto"/>
            <w:vAlign w:val="center"/>
          </w:tcPr>
          <w:p w14:paraId="20529D87">
            <w:pPr>
              <w:jc w:val="center"/>
              <w:rPr>
                <w:rFonts w:hint="default" w:ascii="微软雅黑" w:hAnsi="微软雅黑" w:eastAsia="微软雅黑" w:cs="微软雅黑"/>
                <w:i w:val="0"/>
                <w:iCs w:val="0"/>
                <w:color w:val="000000"/>
                <w:sz w:val="22"/>
                <w:szCs w:val="22"/>
                <w:u w:val="none"/>
              </w:rPr>
            </w:pPr>
          </w:p>
        </w:tc>
        <w:tc>
          <w:tcPr>
            <w:tcW w:w="2279" w:type="pct"/>
            <w:tcBorders>
              <w:tl2br w:val="nil"/>
              <w:tr2bl w:val="nil"/>
            </w:tcBorders>
            <w:shd w:val="clear" w:color="auto" w:fill="auto"/>
            <w:noWrap/>
            <w:vAlign w:val="center"/>
          </w:tcPr>
          <w:p w14:paraId="15A327CB">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调查表发布与回收-通知填写</w:t>
            </w:r>
          </w:p>
        </w:tc>
        <w:tc>
          <w:tcPr>
            <w:tcW w:w="2191" w:type="pct"/>
            <w:tcBorders>
              <w:tl2br w:val="nil"/>
              <w:tr2bl w:val="nil"/>
            </w:tcBorders>
            <w:shd w:val="clear" w:color="auto" w:fill="auto"/>
            <w:vAlign w:val="center"/>
          </w:tcPr>
          <w:p w14:paraId="5750E2E3">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调查表发布与回收功能中的通知填写环节支持通过WeLink小程序向指定人员发送调查链接，以便他们进行填写。当管理员创建并准备好调查表后，可以利用WeLink的通讯能力，将包含调查链接的通知直接推送给目标用户。这些用户可以在WeLink小程序中收到提醒，并点击链接直接进入调查表页面进行填写。</w:t>
            </w:r>
          </w:p>
        </w:tc>
      </w:tr>
      <w:tr w14:paraId="5842659F">
        <w:tblPrEx>
          <w:tblBorders>
            <w:top w:val="single" w:color="76933C" w:sz="4" w:space="0"/>
            <w:left w:val="single" w:color="76933C" w:sz="4" w:space="0"/>
            <w:bottom w:val="single" w:color="76933C" w:sz="4" w:space="0"/>
            <w:right w:val="single" w:color="76933C" w:sz="4" w:space="0"/>
            <w:insideH w:val="single" w:color="76933C" w:sz="4" w:space="0"/>
            <w:insideV w:val="single" w:color="76933C" w:sz="4" w:space="0"/>
          </w:tblBorders>
          <w:tblCellMar>
            <w:top w:w="0" w:type="dxa"/>
            <w:left w:w="108" w:type="dxa"/>
            <w:bottom w:w="0" w:type="dxa"/>
            <w:right w:w="108" w:type="dxa"/>
          </w:tblCellMar>
        </w:tblPrEx>
        <w:trPr>
          <w:trHeight w:val="1020" w:hRule="atLeast"/>
        </w:trPr>
        <w:tc>
          <w:tcPr>
            <w:tcW w:w="529" w:type="pct"/>
            <w:vMerge w:val="continue"/>
            <w:tcBorders>
              <w:tl2br w:val="nil"/>
              <w:tr2bl w:val="nil"/>
            </w:tcBorders>
            <w:shd w:val="clear" w:color="auto" w:fill="auto"/>
            <w:vAlign w:val="center"/>
          </w:tcPr>
          <w:p w14:paraId="36CB1B48">
            <w:pPr>
              <w:jc w:val="center"/>
              <w:rPr>
                <w:rFonts w:hint="default" w:ascii="微软雅黑" w:hAnsi="微软雅黑" w:eastAsia="微软雅黑" w:cs="微软雅黑"/>
                <w:i w:val="0"/>
                <w:iCs w:val="0"/>
                <w:color w:val="000000"/>
                <w:sz w:val="22"/>
                <w:szCs w:val="22"/>
                <w:u w:val="none"/>
              </w:rPr>
            </w:pPr>
          </w:p>
        </w:tc>
        <w:tc>
          <w:tcPr>
            <w:tcW w:w="2279" w:type="pct"/>
            <w:tcBorders>
              <w:tl2br w:val="nil"/>
              <w:tr2bl w:val="nil"/>
            </w:tcBorders>
            <w:shd w:val="clear" w:color="auto" w:fill="auto"/>
            <w:noWrap/>
            <w:vAlign w:val="center"/>
          </w:tcPr>
          <w:p w14:paraId="32DFEF29">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调查表发布与回收-响应跟踪</w:t>
            </w:r>
          </w:p>
        </w:tc>
        <w:tc>
          <w:tcPr>
            <w:tcW w:w="2191" w:type="pct"/>
            <w:tcBorders>
              <w:tl2br w:val="nil"/>
              <w:tr2bl w:val="nil"/>
            </w:tcBorders>
            <w:shd w:val="clear" w:color="auto" w:fill="auto"/>
            <w:vAlign w:val="center"/>
          </w:tcPr>
          <w:p w14:paraId="2C857C0D">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调查表发布与回收功能中的响应跟踪环节能够记录参与者的名单以及他们的完成情况。系统会自动追踪每个收到调查链接的参与者，记录他们是否打开了链接、何时开始填写以及是否已经完成提交。</w:t>
            </w:r>
          </w:p>
        </w:tc>
      </w:tr>
      <w:tr w14:paraId="41C09CAD">
        <w:tblPrEx>
          <w:tblBorders>
            <w:top w:val="single" w:color="76933C" w:sz="4" w:space="0"/>
            <w:left w:val="single" w:color="76933C" w:sz="4" w:space="0"/>
            <w:bottom w:val="single" w:color="76933C" w:sz="4" w:space="0"/>
            <w:right w:val="single" w:color="76933C" w:sz="4" w:space="0"/>
            <w:insideH w:val="single" w:color="76933C" w:sz="4" w:space="0"/>
            <w:insideV w:val="single" w:color="76933C" w:sz="4" w:space="0"/>
          </w:tblBorders>
          <w:shd w:val="clear" w:color="auto" w:fill="auto"/>
          <w:tblCellMar>
            <w:top w:w="0" w:type="dxa"/>
            <w:left w:w="108" w:type="dxa"/>
            <w:bottom w:w="0" w:type="dxa"/>
            <w:right w:w="108" w:type="dxa"/>
          </w:tblCellMar>
        </w:tblPrEx>
        <w:trPr>
          <w:trHeight w:val="1900" w:hRule="atLeast"/>
        </w:trPr>
        <w:tc>
          <w:tcPr>
            <w:tcW w:w="529" w:type="pct"/>
            <w:vMerge w:val="restart"/>
            <w:tcBorders>
              <w:tl2br w:val="nil"/>
              <w:tr2bl w:val="nil"/>
            </w:tcBorders>
            <w:shd w:val="clear" w:color="auto" w:fill="auto"/>
            <w:vAlign w:val="center"/>
          </w:tcPr>
          <w:p w14:paraId="2BC2C1CA">
            <w:pPr>
              <w:jc w:val="center"/>
              <w:rPr>
                <w:rFonts w:hint="default" w:ascii="微软雅黑" w:hAnsi="微软雅黑" w:eastAsia="微软雅黑" w:cs="微软雅黑"/>
                <w:i w:val="0"/>
                <w:iCs w:val="0"/>
                <w:color w:val="000000"/>
                <w:sz w:val="22"/>
                <w:szCs w:val="22"/>
                <w:u w:val="none"/>
              </w:rPr>
            </w:pPr>
          </w:p>
        </w:tc>
        <w:tc>
          <w:tcPr>
            <w:tcW w:w="2279" w:type="pct"/>
            <w:tcBorders>
              <w:tl2br w:val="nil"/>
              <w:tr2bl w:val="nil"/>
            </w:tcBorders>
            <w:shd w:val="clear" w:color="auto" w:fill="auto"/>
            <w:noWrap/>
            <w:vAlign w:val="center"/>
          </w:tcPr>
          <w:p w14:paraId="14F16F30">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调查表发布与回收-结果统计分析</w:t>
            </w:r>
          </w:p>
        </w:tc>
        <w:tc>
          <w:tcPr>
            <w:tcW w:w="2191" w:type="pct"/>
            <w:tcBorders>
              <w:tl2br w:val="nil"/>
              <w:tr2bl w:val="nil"/>
            </w:tcBorders>
            <w:shd w:val="clear" w:color="auto" w:fill="auto"/>
            <w:vAlign w:val="center"/>
          </w:tcPr>
          <w:p w14:paraId="449D79AA">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参与者完成填写并提交了调查表，系统会自动汇总所有收集到的信息，进行数据清洗和初步处理。随后，根据预设的统计规则和指标，系统会对数据进行分析，生成直观的汇总表格。</w:t>
            </w:r>
          </w:p>
        </w:tc>
      </w:tr>
      <w:tr w14:paraId="7C03DA28">
        <w:tblPrEx>
          <w:tblBorders>
            <w:top w:val="single" w:color="76933C" w:sz="4" w:space="0"/>
            <w:left w:val="single" w:color="76933C" w:sz="4" w:space="0"/>
            <w:bottom w:val="single" w:color="76933C" w:sz="4" w:space="0"/>
            <w:right w:val="single" w:color="76933C" w:sz="4" w:space="0"/>
            <w:insideH w:val="single" w:color="76933C" w:sz="4" w:space="0"/>
            <w:insideV w:val="single" w:color="76933C" w:sz="4" w:space="0"/>
          </w:tblBorders>
          <w:tblCellMar>
            <w:top w:w="0" w:type="dxa"/>
            <w:left w:w="108" w:type="dxa"/>
            <w:bottom w:w="0" w:type="dxa"/>
            <w:right w:w="108" w:type="dxa"/>
          </w:tblCellMar>
        </w:tblPrEx>
        <w:trPr>
          <w:trHeight w:val="1900" w:hRule="atLeast"/>
        </w:trPr>
        <w:tc>
          <w:tcPr>
            <w:tcW w:w="529" w:type="pct"/>
            <w:vMerge w:val="continue"/>
            <w:tcBorders>
              <w:tl2br w:val="nil"/>
              <w:tr2bl w:val="nil"/>
            </w:tcBorders>
            <w:shd w:val="clear" w:color="auto" w:fill="auto"/>
            <w:vAlign w:val="center"/>
          </w:tcPr>
          <w:p w14:paraId="67B12864">
            <w:pPr>
              <w:jc w:val="center"/>
              <w:rPr>
                <w:rFonts w:hint="default" w:ascii="微软雅黑" w:hAnsi="微软雅黑" w:eastAsia="微软雅黑" w:cs="微软雅黑"/>
                <w:i w:val="0"/>
                <w:iCs w:val="0"/>
                <w:color w:val="000000"/>
                <w:sz w:val="22"/>
                <w:szCs w:val="22"/>
                <w:u w:val="none"/>
              </w:rPr>
            </w:pPr>
          </w:p>
        </w:tc>
        <w:tc>
          <w:tcPr>
            <w:tcW w:w="2279" w:type="pct"/>
            <w:tcBorders>
              <w:tl2br w:val="nil"/>
              <w:tr2bl w:val="nil"/>
            </w:tcBorders>
            <w:shd w:val="clear" w:color="auto" w:fill="auto"/>
            <w:noWrap/>
            <w:vAlign w:val="center"/>
          </w:tcPr>
          <w:p w14:paraId="588E353F">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对接业务系统获取数据-API接口开发</w:t>
            </w:r>
          </w:p>
        </w:tc>
        <w:tc>
          <w:tcPr>
            <w:tcW w:w="2191" w:type="pct"/>
            <w:tcBorders>
              <w:tl2br w:val="nil"/>
              <w:tr2bl w:val="nil"/>
            </w:tcBorders>
            <w:shd w:val="clear" w:color="auto" w:fill="auto"/>
            <w:vAlign w:val="center"/>
          </w:tcPr>
          <w:p w14:paraId="4CFF2360">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实现与业务系统的数据对接，涵盖党组织情况基础数据、党员发展数据、党员组织关系转移数据、党员干部学习数据、党课数据、党员活动数据、社团（协会）基本数据、学生参与社团数据、举办社团活动数据、参加社团活动数据以及学生社会实践活动数据等多个子类表的数据交换。</w:t>
            </w:r>
          </w:p>
        </w:tc>
      </w:tr>
      <w:tr w14:paraId="6442B183">
        <w:tblPrEx>
          <w:tblBorders>
            <w:top w:val="single" w:color="76933C" w:sz="4" w:space="0"/>
            <w:left w:val="single" w:color="76933C" w:sz="4" w:space="0"/>
            <w:bottom w:val="single" w:color="76933C" w:sz="4" w:space="0"/>
            <w:right w:val="single" w:color="76933C" w:sz="4" w:space="0"/>
            <w:insideH w:val="single" w:color="76933C" w:sz="4" w:space="0"/>
            <w:insideV w:val="single" w:color="76933C" w:sz="4" w:space="0"/>
          </w:tblBorders>
          <w:tblCellMar>
            <w:top w:w="0" w:type="dxa"/>
            <w:left w:w="108" w:type="dxa"/>
            <w:bottom w:w="0" w:type="dxa"/>
            <w:right w:w="108" w:type="dxa"/>
          </w:tblCellMar>
        </w:tblPrEx>
        <w:trPr>
          <w:trHeight w:val="1900" w:hRule="atLeast"/>
        </w:trPr>
        <w:tc>
          <w:tcPr>
            <w:tcW w:w="529" w:type="pct"/>
            <w:vMerge w:val="continue"/>
            <w:tcBorders>
              <w:tl2br w:val="nil"/>
              <w:tr2bl w:val="nil"/>
            </w:tcBorders>
            <w:shd w:val="clear" w:color="auto" w:fill="auto"/>
            <w:vAlign w:val="center"/>
          </w:tcPr>
          <w:p w14:paraId="0BFD8ED7">
            <w:pPr>
              <w:jc w:val="center"/>
              <w:rPr>
                <w:rFonts w:hint="default" w:ascii="微软雅黑" w:hAnsi="微软雅黑" w:eastAsia="微软雅黑" w:cs="微软雅黑"/>
                <w:i w:val="0"/>
                <w:iCs w:val="0"/>
                <w:color w:val="000000"/>
                <w:sz w:val="22"/>
                <w:szCs w:val="22"/>
                <w:u w:val="none"/>
              </w:rPr>
            </w:pPr>
          </w:p>
        </w:tc>
        <w:tc>
          <w:tcPr>
            <w:tcW w:w="2279" w:type="pct"/>
            <w:tcBorders>
              <w:tl2br w:val="nil"/>
              <w:tr2bl w:val="nil"/>
            </w:tcBorders>
            <w:shd w:val="clear" w:color="auto" w:fill="auto"/>
            <w:noWrap/>
            <w:vAlign w:val="center"/>
          </w:tcPr>
          <w:p w14:paraId="6380BE79">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对接业务系统获取数据-数据同步</w:t>
            </w:r>
          </w:p>
        </w:tc>
        <w:tc>
          <w:tcPr>
            <w:tcW w:w="2191" w:type="pct"/>
            <w:tcBorders>
              <w:tl2br w:val="nil"/>
              <w:tr2bl w:val="nil"/>
            </w:tcBorders>
            <w:shd w:val="clear" w:color="auto" w:fill="auto"/>
            <w:vAlign w:val="center"/>
          </w:tcPr>
          <w:p w14:paraId="0A6202DC">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数据同步功能确保业务系统之间的数据能够实现双向或单向的实时更新，以保持数据的最新状态。</w:t>
            </w:r>
          </w:p>
        </w:tc>
      </w:tr>
      <w:tr w14:paraId="131D596D">
        <w:tblPrEx>
          <w:tblBorders>
            <w:top w:val="single" w:color="76933C" w:sz="4" w:space="0"/>
            <w:left w:val="single" w:color="76933C" w:sz="4" w:space="0"/>
            <w:bottom w:val="single" w:color="76933C" w:sz="4" w:space="0"/>
            <w:right w:val="single" w:color="76933C" w:sz="4" w:space="0"/>
            <w:insideH w:val="single" w:color="76933C" w:sz="4" w:space="0"/>
            <w:insideV w:val="single" w:color="76933C" w:sz="4" w:space="0"/>
          </w:tblBorders>
          <w:shd w:val="clear" w:color="auto" w:fill="auto"/>
          <w:tblCellMar>
            <w:top w:w="0" w:type="dxa"/>
            <w:left w:w="108" w:type="dxa"/>
            <w:bottom w:w="0" w:type="dxa"/>
            <w:right w:w="108" w:type="dxa"/>
          </w:tblCellMar>
        </w:tblPrEx>
        <w:trPr>
          <w:trHeight w:val="1900" w:hRule="atLeast"/>
        </w:trPr>
        <w:tc>
          <w:tcPr>
            <w:tcW w:w="529" w:type="pct"/>
            <w:vMerge w:val="continue"/>
            <w:tcBorders>
              <w:tl2br w:val="nil"/>
              <w:tr2bl w:val="nil"/>
            </w:tcBorders>
            <w:shd w:val="clear" w:color="auto" w:fill="auto"/>
            <w:vAlign w:val="center"/>
          </w:tcPr>
          <w:p w14:paraId="6EE01BC4">
            <w:pPr>
              <w:jc w:val="center"/>
              <w:rPr>
                <w:rFonts w:hint="default" w:ascii="微软雅黑" w:hAnsi="微软雅黑" w:eastAsia="微软雅黑" w:cs="微软雅黑"/>
                <w:i w:val="0"/>
                <w:iCs w:val="0"/>
                <w:color w:val="000000"/>
                <w:sz w:val="22"/>
                <w:szCs w:val="22"/>
                <w:u w:val="none"/>
              </w:rPr>
            </w:pPr>
          </w:p>
        </w:tc>
        <w:tc>
          <w:tcPr>
            <w:tcW w:w="2279" w:type="pct"/>
            <w:tcBorders>
              <w:tl2br w:val="nil"/>
              <w:tr2bl w:val="nil"/>
            </w:tcBorders>
            <w:shd w:val="clear" w:color="auto" w:fill="auto"/>
            <w:noWrap/>
            <w:vAlign w:val="center"/>
          </w:tcPr>
          <w:p w14:paraId="7647BEA2">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用户管理</w:t>
            </w:r>
          </w:p>
        </w:tc>
        <w:tc>
          <w:tcPr>
            <w:tcW w:w="2191" w:type="pct"/>
            <w:tcBorders>
              <w:tl2br w:val="nil"/>
              <w:tr2bl w:val="nil"/>
            </w:tcBorders>
            <w:shd w:val="clear" w:color="auto" w:fill="auto"/>
            <w:vAlign w:val="center"/>
          </w:tcPr>
          <w:p w14:paraId="495243EB">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提供用户管理功能，包括新增用户、修改用户资料、删除用户、权限分配等</w:t>
            </w:r>
            <w:r>
              <w:rPr>
                <w:rFonts w:hint="eastAsia" w:ascii="微软雅黑" w:hAnsi="微软雅黑" w:eastAsia="微软雅黑" w:cs="微软雅黑"/>
                <w:i w:val="0"/>
                <w:iCs w:val="0"/>
                <w:color w:val="000000"/>
                <w:kern w:val="0"/>
                <w:sz w:val="22"/>
                <w:szCs w:val="22"/>
                <w:u w:val="none"/>
                <w:lang w:val="en-US" w:eastAsia="zh-CN" w:bidi="ar"/>
              </w:rPr>
              <w:t>。</w:t>
            </w:r>
          </w:p>
        </w:tc>
      </w:tr>
      <w:tr w14:paraId="759A01F0">
        <w:tblPrEx>
          <w:tblBorders>
            <w:top w:val="single" w:color="76933C" w:sz="4" w:space="0"/>
            <w:left w:val="single" w:color="76933C" w:sz="4" w:space="0"/>
            <w:bottom w:val="single" w:color="76933C" w:sz="4" w:space="0"/>
            <w:right w:val="single" w:color="76933C" w:sz="4" w:space="0"/>
            <w:insideH w:val="single" w:color="76933C" w:sz="4" w:space="0"/>
            <w:insideV w:val="single" w:color="76933C" w:sz="4" w:space="0"/>
          </w:tblBorders>
          <w:shd w:val="clear" w:color="auto" w:fill="auto"/>
        </w:tblPrEx>
        <w:trPr>
          <w:trHeight w:val="1900" w:hRule="atLeast"/>
        </w:trPr>
        <w:tc>
          <w:tcPr>
            <w:tcW w:w="529" w:type="pct"/>
            <w:vMerge w:val="continue"/>
            <w:tcBorders>
              <w:tl2br w:val="nil"/>
              <w:tr2bl w:val="nil"/>
            </w:tcBorders>
            <w:shd w:val="clear" w:color="auto" w:fill="auto"/>
            <w:vAlign w:val="center"/>
          </w:tcPr>
          <w:p w14:paraId="11D1B810">
            <w:pPr>
              <w:jc w:val="center"/>
              <w:rPr>
                <w:rFonts w:hint="default" w:ascii="微软雅黑" w:hAnsi="微软雅黑" w:eastAsia="微软雅黑" w:cs="微软雅黑"/>
                <w:i w:val="0"/>
                <w:iCs w:val="0"/>
                <w:color w:val="000000"/>
                <w:sz w:val="22"/>
                <w:szCs w:val="22"/>
                <w:u w:val="none"/>
              </w:rPr>
            </w:pPr>
          </w:p>
        </w:tc>
        <w:tc>
          <w:tcPr>
            <w:tcW w:w="2279" w:type="pct"/>
            <w:tcBorders>
              <w:tl2br w:val="nil"/>
              <w:tr2bl w:val="nil"/>
            </w:tcBorders>
            <w:shd w:val="clear" w:color="auto" w:fill="auto"/>
            <w:noWrap/>
            <w:vAlign w:val="center"/>
          </w:tcPr>
          <w:p w14:paraId="09ADA770">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角色管理</w:t>
            </w:r>
          </w:p>
        </w:tc>
        <w:tc>
          <w:tcPr>
            <w:tcW w:w="2191" w:type="pct"/>
            <w:tcBorders>
              <w:tl2br w:val="nil"/>
              <w:tr2bl w:val="nil"/>
            </w:tcBorders>
            <w:shd w:val="clear" w:color="auto" w:fill="auto"/>
            <w:vAlign w:val="center"/>
          </w:tcPr>
          <w:p w14:paraId="17978F7F">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提供角色管理功能，可以使用不同的角色对应不同的权限，从而简化管理的复杂性</w:t>
            </w:r>
            <w:r>
              <w:rPr>
                <w:rFonts w:hint="eastAsia" w:ascii="微软雅黑" w:hAnsi="微软雅黑" w:eastAsia="微软雅黑" w:cs="微软雅黑"/>
                <w:i w:val="0"/>
                <w:iCs w:val="0"/>
                <w:color w:val="000000"/>
                <w:kern w:val="0"/>
                <w:sz w:val="22"/>
                <w:szCs w:val="22"/>
                <w:u w:val="none"/>
                <w:lang w:val="en-US" w:eastAsia="zh-CN" w:bidi="ar"/>
              </w:rPr>
              <w:t>。</w:t>
            </w:r>
          </w:p>
        </w:tc>
      </w:tr>
      <w:tr w14:paraId="0782AAA8">
        <w:tblPrEx>
          <w:tblBorders>
            <w:top w:val="single" w:color="76933C" w:sz="4" w:space="0"/>
            <w:left w:val="single" w:color="76933C" w:sz="4" w:space="0"/>
            <w:bottom w:val="single" w:color="76933C" w:sz="4" w:space="0"/>
            <w:right w:val="single" w:color="76933C" w:sz="4" w:space="0"/>
            <w:insideH w:val="single" w:color="76933C" w:sz="4" w:space="0"/>
            <w:insideV w:val="single" w:color="76933C" w:sz="4" w:space="0"/>
          </w:tblBorders>
          <w:tblCellMar>
            <w:top w:w="0" w:type="dxa"/>
            <w:left w:w="108" w:type="dxa"/>
            <w:bottom w:w="0" w:type="dxa"/>
            <w:right w:w="108" w:type="dxa"/>
          </w:tblCellMar>
        </w:tblPrEx>
        <w:trPr>
          <w:trHeight w:val="1900" w:hRule="atLeast"/>
        </w:trPr>
        <w:tc>
          <w:tcPr>
            <w:tcW w:w="529" w:type="pct"/>
            <w:vMerge w:val="continue"/>
            <w:tcBorders>
              <w:tl2br w:val="nil"/>
              <w:tr2bl w:val="nil"/>
            </w:tcBorders>
            <w:shd w:val="clear" w:color="auto" w:fill="auto"/>
            <w:vAlign w:val="center"/>
          </w:tcPr>
          <w:p w14:paraId="4421AAC0">
            <w:pPr>
              <w:jc w:val="center"/>
              <w:rPr>
                <w:rFonts w:hint="default" w:ascii="微软雅黑" w:hAnsi="微软雅黑" w:eastAsia="微软雅黑" w:cs="微软雅黑"/>
                <w:i w:val="0"/>
                <w:iCs w:val="0"/>
                <w:color w:val="000000"/>
                <w:sz w:val="22"/>
                <w:szCs w:val="22"/>
                <w:u w:val="none"/>
              </w:rPr>
            </w:pPr>
          </w:p>
        </w:tc>
        <w:tc>
          <w:tcPr>
            <w:tcW w:w="2279" w:type="pct"/>
            <w:tcBorders>
              <w:tl2br w:val="nil"/>
              <w:tr2bl w:val="nil"/>
            </w:tcBorders>
            <w:shd w:val="clear" w:color="auto" w:fill="auto"/>
            <w:noWrap/>
            <w:vAlign w:val="center"/>
          </w:tcPr>
          <w:p w14:paraId="1A573305">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菜单管理</w:t>
            </w:r>
          </w:p>
        </w:tc>
        <w:tc>
          <w:tcPr>
            <w:tcW w:w="2191" w:type="pct"/>
            <w:tcBorders>
              <w:tl2br w:val="nil"/>
              <w:tr2bl w:val="nil"/>
            </w:tcBorders>
            <w:shd w:val="clear" w:color="auto" w:fill="auto"/>
            <w:vAlign w:val="center"/>
          </w:tcPr>
          <w:p w14:paraId="6CCF088E">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对系统菜单做出相应的管理，可以方便的添加菜单、编辑菜单及菜单权限管理等</w:t>
            </w:r>
            <w:r>
              <w:rPr>
                <w:rFonts w:hint="eastAsia" w:ascii="微软雅黑" w:hAnsi="微软雅黑" w:eastAsia="微软雅黑" w:cs="微软雅黑"/>
                <w:i w:val="0"/>
                <w:iCs w:val="0"/>
                <w:color w:val="000000"/>
                <w:kern w:val="0"/>
                <w:sz w:val="22"/>
                <w:szCs w:val="22"/>
                <w:u w:val="none"/>
                <w:lang w:val="en-US" w:eastAsia="zh-CN" w:bidi="ar"/>
              </w:rPr>
              <w:t>。</w:t>
            </w:r>
          </w:p>
        </w:tc>
      </w:tr>
      <w:tr w14:paraId="68B74976">
        <w:tblPrEx>
          <w:tblBorders>
            <w:top w:val="single" w:color="76933C" w:sz="4" w:space="0"/>
            <w:left w:val="single" w:color="76933C" w:sz="4" w:space="0"/>
            <w:bottom w:val="single" w:color="76933C" w:sz="4" w:space="0"/>
            <w:right w:val="single" w:color="76933C" w:sz="4" w:space="0"/>
            <w:insideH w:val="single" w:color="76933C" w:sz="4" w:space="0"/>
            <w:insideV w:val="single" w:color="76933C" w:sz="4" w:space="0"/>
          </w:tblBorders>
          <w:tblCellMar>
            <w:top w:w="0" w:type="dxa"/>
            <w:left w:w="108" w:type="dxa"/>
            <w:bottom w:w="0" w:type="dxa"/>
            <w:right w:w="108" w:type="dxa"/>
          </w:tblCellMar>
        </w:tblPrEx>
        <w:trPr>
          <w:trHeight w:val="1900" w:hRule="atLeast"/>
        </w:trPr>
        <w:tc>
          <w:tcPr>
            <w:tcW w:w="529" w:type="pct"/>
            <w:vMerge w:val="continue"/>
            <w:tcBorders>
              <w:tl2br w:val="nil"/>
              <w:tr2bl w:val="nil"/>
            </w:tcBorders>
            <w:shd w:val="clear" w:color="auto" w:fill="auto"/>
            <w:vAlign w:val="center"/>
          </w:tcPr>
          <w:p w14:paraId="52FC7D94">
            <w:pPr>
              <w:jc w:val="center"/>
              <w:rPr>
                <w:rFonts w:hint="default" w:ascii="微软雅黑" w:hAnsi="微软雅黑" w:eastAsia="微软雅黑" w:cs="微软雅黑"/>
                <w:i w:val="0"/>
                <w:iCs w:val="0"/>
                <w:color w:val="000000"/>
                <w:sz w:val="22"/>
                <w:szCs w:val="22"/>
                <w:u w:val="none"/>
              </w:rPr>
            </w:pPr>
          </w:p>
        </w:tc>
        <w:tc>
          <w:tcPr>
            <w:tcW w:w="2279" w:type="pct"/>
            <w:tcBorders>
              <w:tl2br w:val="nil"/>
              <w:tr2bl w:val="nil"/>
            </w:tcBorders>
            <w:shd w:val="clear" w:color="auto" w:fill="auto"/>
            <w:noWrap/>
            <w:vAlign w:val="center"/>
          </w:tcPr>
          <w:p w14:paraId="093B6A3F">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部门管理</w:t>
            </w:r>
          </w:p>
        </w:tc>
        <w:tc>
          <w:tcPr>
            <w:tcW w:w="2191" w:type="pct"/>
            <w:tcBorders>
              <w:tl2br w:val="nil"/>
              <w:tr2bl w:val="nil"/>
            </w:tcBorders>
            <w:shd w:val="clear" w:color="auto" w:fill="auto"/>
            <w:vAlign w:val="center"/>
          </w:tcPr>
          <w:p w14:paraId="4D4CB842">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处理和维护系统中的部门信息，类型定义、部门设置等</w:t>
            </w:r>
            <w:r>
              <w:rPr>
                <w:rFonts w:hint="eastAsia" w:ascii="微软雅黑" w:hAnsi="微软雅黑" w:eastAsia="微软雅黑" w:cs="微软雅黑"/>
                <w:i w:val="0"/>
                <w:iCs w:val="0"/>
                <w:color w:val="000000"/>
                <w:kern w:val="0"/>
                <w:sz w:val="22"/>
                <w:szCs w:val="22"/>
                <w:u w:val="none"/>
                <w:lang w:val="en-US" w:eastAsia="zh-CN" w:bidi="ar"/>
              </w:rPr>
              <w:t>。</w:t>
            </w:r>
          </w:p>
        </w:tc>
      </w:tr>
      <w:tr w14:paraId="4E25B245">
        <w:tblPrEx>
          <w:tblBorders>
            <w:top w:val="single" w:color="76933C" w:sz="4" w:space="0"/>
            <w:left w:val="single" w:color="76933C" w:sz="4" w:space="0"/>
            <w:bottom w:val="single" w:color="76933C" w:sz="4" w:space="0"/>
            <w:right w:val="single" w:color="76933C" w:sz="4" w:space="0"/>
            <w:insideH w:val="single" w:color="76933C" w:sz="4" w:space="0"/>
            <w:insideV w:val="single" w:color="76933C" w:sz="4" w:space="0"/>
          </w:tblBorders>
          <w:shd w:val="clear" w:color="auto" w:fill="auto"/>
          <w:tblCellMar>
            <w:top w:w="0" w:type="dxa"/>
            <w:left w:w="108" w:type="dxa"/>
            <w:bottom w:w="0" w:type="dxa"/>
            <w:right w:w="108" w:type="dxa"/>
          </w:tblCellMar>
        </w:tblPrEx>
        <w:trPr>
          <w:trHeight w:val="1900" w:hRule="atLeast"/>
        </w:trPr>
        <w:tc>
          <w:tcPr>
            <w:tcW w:w="529" w:type="pct"/>
            <w:vMerge w:val="continue"/>
            <w:tcBorders>
              <w:tl2br w:val="nil"/>
              <w:tr2bl w:val="nil"/>
            </w:tcBorders>
            <w:shd w:val="clear" w:color="auto" w:fill="auto"/>
            <w:vAlign w:val="center"/>
          </w:tcPr>
          <w:p w14:paraId="0DEFC7EC">
            <w:pPr>
              <w:jc w:val="center"/>
              <w:rPr>
                <w:rFonts w:hint="default" w:ascii="微软雅黑" w:hAnsi="微软雅黑" w:eastAsia="微软雅黑" w:cs="微软雅黑"/>
                <w:i w:val="0"/>
                <w:iCs w:val="0"/>
                <w:color w:val="000000"/>
                <w:sz w:val="22"/>
                <w:szCs w:val="22"/>
                <w:u w:val="none"/>
              </w:rPr>
            </w:pPr>
          </w:p>
        </w:tc>
        <w:tc>
          <w:tcPr>
            <w:tcW w:w="2279" w:type="pct"/>
            <w:tcBorders>
              <w:tl2br w:val="nil"/>
              <w:tr2bl w:val="nil"/>
            </w:tcBorders>
            <w:shd w:val="clear" w:color="auto" w:fill="auto"/>
            <w:noWrap/>
            <w:vAlign w:val="center"/>
          </w:tcPr>
          <w:p w14:paraId="0F1A5183">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字典管理</w:t>
            </w:r>
          </w:p>
        </w:tc>
        <w:tc>
          <w:tcPr>
            <w:tcW w:w="2191" w:type="pct"/>
            <w:tcBorders>
              <w:tl2br w:val="nil"/>
              <w:tr2bl w:val="nil"/>
            </w:tcBorders>
            <w:shd w:val="clear" w:color="auto" w:fill="auto"/>
            <w:vAlign w:val="center"/>
          </w:tcPr>
          <w:p w14:paraId="5CD54966">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专门管理系统内部所有可以重复使用的数据，可以方便的对其进行维护和添加新词汇</w:t>
            </w:r>
            <w:r>
              <w:rPr>
                <w:rFonts w:hint="eastAsia" w:ascii="微软雅黑" w:hAnsi="微软雅黑" w:eastAsia="微软雅黑" w:cs="微软雅黑"/>
                <w:i w:val="0"/>
                <w:iCs w:val="0"/>
                <w:color w:val="000000"/>
                <w:kern w:val="0"/>
                <w:sz w:val="22"/>
                <w:szCs w:val="22"/>
                <w:u w:val="none"/>
                <w:lang w:val="en-US" w:eastAsia="zh-CN" w:bidi="ar"/>
              </w:rPr>
              <w:t>。</w:t>
            </w:r>
          </w:p>
        </w:tc>
      </w:tr>
      <w:tr w14:paraId="77238C19">
        <w:tblPrEx>
          <w:tblBorders>
            <w:top w:val="single" w:color="76933C" w:sz="4" w:space="0"/>
            <w:left w:val="single" w:color="76933C" w:sz="4" w:space="0"/>
            <w:bottom w:val="single" w:color="76933C" w:sz="4" w:space="0"/>
            <w:right w:val="single" w:color="76933C" w:sz="4" w:space="0"/>
            <w:insideH w:val="single" w:color="76933C" w:sz="4" w:space="0"/>
            <w:insideV w:val="single" w:color="76933C" w:sz="4" w:space="0"/>
          </w:tblBorders>
          <w:tblCellMar>
            <w:top w:w="0" w:type="dxa"/>
            <w:left w:w="108" w:type="dxa"/>
            <w:bottom w:w="0" w:type="dxa"/>
            <w:right w:w="108" w:type="dxa"/>
          </w:tblCellMar>
        </w:tblPrEx>
        <w:trPr>
          <w:trHeight w:val="1900" w:hRule="atLeast"/>
        </w:trPr>
        <w:tc>
          <w:tcPr>
            <w:tcW w:w="529" w:type="pct"/>
            <w:vMerge w:val="continue"/>
            <w:tcBorders>
              <w:tl2br w:val="nil"/>
              <w:tr2bl w:val="nil"/>
            </w:tcBorders>
            <w:shd w:val="clear" w:color="auto" w:fill="auto"/>
            <w:vAlign w:val="center"/>
          </w:tcPr>
          <w:p w14:paraId="779FC8F9">
            <w:pPr>
              <w:jc w:val="center"/>
              <w:rPr>
                <w:rFonts w:hint="default" w:ascii="微软雅黑" w:hAnsi="微软雅黑" w:eastAsia="微软雅黑" w:cs="微软雅黑"/>
                <w:i w:val="0"/>
                <w:iCs w:val="0"/>
                <w:color w:val="000000"/>
                <w:sz w:val="22"/>
                <w:szCs w:val="22"/>
                <w:u w:val="none"/>
              </w:rPr>
            </w:pPr>
          </w:p>
        </w:tc>
        <w:tc>
          <w:tcPr>
            <w:tcW w:w="2279" w:type="pct"/>
            <w:tcBorders>
              <w:tl2br w:val="nil"/>
              <w:tr2bl w:val="nil"/>
            </w:tcBorders>
            <w:shd w:val="clear" w:color="auto" w:fill="auto"/>
            <w:noWrap/>
            <w:vAlign w:val="center"/>
          </w:tcPr>
          <w:p w14:paraId="3AD2A5EA">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参数设置</w:t>
            </w:r>
          </w:p>
        </w:tc>
        <w:tc>
          <w:tcPr>
            <w:tcW w:w="2191" w:type="pct"/>
            <w:tcBorders>
              <w:tl2br w:val="nil"/>
              <w:tr2bl w:val="nil"/>
            </w:tcBorders>
            <w:shd w:val="clear" w:color="auto" w:fill="auto"/>
            <w:vAlign w:val="center"/>
          </w:tcPr>
          <w:p w14:paraId="050C8323">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对系统内的参数进行设置，可以按需要自定义系统参数，让系统更容易适应使用者的要求</w:t>
            </w:r>
            <w:r>
              <w:rPr>
                <w:rFonts w:hint="eastAsia" w:ascii="微软雅黑" w:hAnsi="微软雅黑" w:eastAsia="微软雅黑" w:cs="微软雅黑"/>
                <w:i w:val="0"/>
                <w:iCs w:val="0"/>
                <w:color w:val="000000"/>
                <w:kern w:val="0"/>
                <w:sz w:val="22"/>
                <w:szCs w:val="22"/>
                <w:u w:val="none"/>
                <w:lang w:val="en-US" w:eastAsia="zh-CN" w:bidi="ar"/>
              </w:rPr>
              <w:t>。</w:t>
            </w:r>
          </w:p>
        </w:tc>
      </w:tr>
      <w:tr w14:paraId="4DFB18D9">
        <w:tblPrEx>
          <w:tblBorders>
            <w:top w:val="single" w:color="76933C" w:sz="4" w:space="0"/>
            <w:left w:val="single" w:color="76933C" w:sz="4" w:space="0"/>
            <w:bottom w:val="single" w:color="76933C" w:sz="4" w:space="0"/>
            <w:right w:val="single" w:color="76933C" w:sz="4" w:space="0"/>
            <w:insideH w:val="single" w:color="76933C" w:sz="4" w:space="0"/>
            <w:insideV w:val="single" w:color="76933C" w:sz="4" w:space="0"/>
          </w:tblBorders>
          <w:tblCellMar>
            <w:top w:w="0" w:type="dxa"/>
            <w:left w:w="108" w:type="dxa"/>
            <w:bottom w:w="0" w:type="dxa"/>
            <w:right w:w="108" w:type="dxa"/>
          </w:tblCellMar>
        </w:tblPrEx>
        <w:trPr>
          <w:trHeight w:val="1900" w:hRule="atLeast"/>
        </w:trPr>
        <w:tc>
          <w:tcPr>
            <w:tcW w:w="529" w:type="pct"/>
            <w:vMerge w:val="continue"/>
            <w:tcBorders>
              <w:tl2br w:val="nil"/>
              <w:tr2bl w:val="nil"/>
            </w:tcBorders>
            <w:shd w:val="clear" w:color="auto" w:fill="auto"/>
            <w:vAlign w:val="center"/>
          </w:tcPr>
          <w:p w14:paraId="751886C5">
            <w:pPr>
              <w:jc w:val="center"/>
              <w:rPr>
                <w:rFonts w:hint="default" w:ascii="微软雅黑" w:hAnsi="微软雅黑" w:eastAsia="微软雅黑" w:cs="微软雅黑"/>
                <w:i w:val="0"/>
                <w:iCs w:val="0"/>
                <w:color w:val="000000"/>
                <w:sz w:val="22"/>
                <w:szCs w:val="22"/>
                <w:u w:val="none"/>
              </w:rPr>
            </w:pPr>
          </w:p>
        </w:tc>
        <w:tc>
          <w:tcPr>
            <w:tcW w:w="2279" w:type="pct"/>
            <w:tcBorders>
              <w:tl2br w:val="nil"/>
              <w:tr2bl w:val="nil"/>
            </w:tcBorders>
            <w:shd w:val="clear" w:color="auto" w:fill="auto"/>
            <w:noWrap/>
            <w:vAlign w:val="center"/>
          </w:tcPr>
          <w:p w14:paraId="2D2CDE93">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日志管理</w:t>
            </w:r>
          </w:p>
        </w:tc>
        <w:tc>
          <w:tcPr>
            <w:tcW w:w="2191" w:type="pct"/>
            <w:tcBorders>
              <w:tl2br w:val="nil"/>
              <w:tr2bl w:val="nil"/>
            </w:tcBorders>
            <w:shd w:val="clear" w:color="auto" w:fill="auto"/>
            <w:vAlign w:val="center"/>
          </w:tcPr>
          <w:p w14:paraId="4C45FDE3">
            <w:pPr>
              <w:keepNext w:val="0"/>
              <w:keepLines w:val="0"/>
              <w:widowControl/>
              <w:suppressLineNumbers w:val="0"/>
              <w:ind w:firstLineChars="100"/>
              <w:jc w:val="left"/>
              <w:textAlignment w:val="center"/>
              <w:rPr>
                <w:rFonts w:hint="default" w:ascii="微软雅黑" w:hAnsi="微软雅黑" w:eastAsia="微软雅黑" w:cs="微软雅黑"/>
                <w:i w:val="0"/>
                <w:iCs w:val="0"/>
                <w:color w:val="000000"/>
                <w:sz w:val="22"/>
                <w:szCs w:val="22"/>
                <w:u w:val="none"/>
                <w:lang w:val="en-US"/>
              </w:rPr>
            </w:pPr>
            <w:r>
              <w:rPr>
                <w:rFonts w:hint="default" w:ascii="微软雅黑" w:hAnsi="微软雅黑" w:eastAsia="微软雅黑" w:cs="微软雅黑"/>
                <w:i w:val="0"/>
                <w:iCs w:val="0"/>
                <w:color w:val="000000"/>
                <w:kern w:val="0"/>
                <w:sz w:val="22"/>
                <w:szCs w:val="22"/>
                <w:u w:val="none"/>
                <w:lang w:val="en-US" w:eastAsia="zh-CN" w:bidi="ar"/>
              </w:rPr>
              <w:t>可以追踪系统的所有操作，以便于发现并纠正出现的错误</w:t>
            </w:r>
            <w:r>
              <w:rPr>
                <w:rFonts w:hint="eastAsia" w:ascii="微软雅黑" w:hAnsi="微软雅黑" w:eastAsia="微软雅黑" w:cs="微软雅黑"/>
                <w:i w:val="0"/>
                <w:iCs w:val="0"/>
                <w:color w:val="000000"/>
                <w:kern w:val="0"/>
                <w:sz w:val="22"/>
                <w:szCs w:val="22"/>
                <w:u w:val="none"/>
                <w:lang w:val="en-US" w:eastAsia="zh-CN" w:bidi="ar"/>
              </w:rPr>
              <w:t>。</w:t>
            </w:r>
          </w:p>
        </w:tc>
      </w:tr>
      <w:tr w14:paraId="250FFBC8">
        <w:tblPrEx>
          <w:tblBorders>
            <w:top w:val="single" w:color="76933C" w:sz="4" w:space="0"/>
            <w:left w:val="single" w:color="76933C" w:sz="4" w:space="0"/>
            <w:bottom w:val="single" w:color="76933C" w:sz="4" w:space="0"/>
            <w:right w:val="single" w:color="76933C" w:sz="4" w:space="0"/>
            <w:insideH w:val="single" w:color="76933C" w:sz="4" w:space="0"/>
            <w:insideV w:val="single" w:color="76933C" w:sz="4" w:space="0"/>
          </w:tblBorders>
          <w:tblCellMar>
            <w:top w:w="0" w:type="dxa"/>
            <w:left w:w="108" w:type="dxa"/>
            <w:bottom w:w="0" w:type="dxa"/>
            <w:right w:w="108" w:type="dxa"/>
          </w:tblCellMar>
        </w:tblPrEx>
        <w:trPr>
          <w:trHeight w:val="1900" w:hRule="atLeast"/>
        </w:trPr>
        <w:tc>
          <w:tcPr>
            <w:tcW w:w="529" w:type="pct"/>
            <w:tcBorders>
              <w:tl2br w:val="nil"/>
              <w:tr2bl w:val="nil"/>
            </w:tcBorders>
            <w:shd w:val="clear" w:color="auto" w:fill="auto"/>
            <w:vAlign w:val="center"/>
          </w:tcPr>
          <w:p w14:paraId="1DEEA345">
            <w:pPr>
              <w:keepNext w:val="0"/>
              <w:keepLines w:val="0"/>
              <w:widowControl/>
              <w:suppressLineNumbers w:val="0"/>
              <w:jc w:val="center"/>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数据信息采集系统welink小程序</w:t>
            </w:r>
          </w:p>
        </w:tc>
        <w:tc>
          <w:tcPr>
            <w:tcW w:w="2279" w:type="pct"/>
            <w:tcBorders>
              <w:tl2br w:val="nil"/>
              <w:tr2bl w:val="nil"/>
            </w:tcBorders>
            <w:shd w:val="clear" w:color="auto" w:fill="auto"/>
            <w:noWrap/>
            <w:vAlign w:val="center"/>
          </w:tcPr>
          <w:p w14:paraId="015D2B42">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调查表的填写</w:t>
            </w:r>
          </w:p>
        </w:tc>
        <w:tc>
          <w:tcPr>
            <w:tcW w:w="2191" w:type="pct"/>
            <w:tcBorders>
              <w:tl2br w:val="nil"/>
              <w:tr2bl w:val="nil"/>
            </w:tcBorders>
            <w:shd w:val="clear" w:color="auto" w:fill="auto"/>
            <w:vAlign w:val="center"/>
          </w:tcPr>
          <w:p w14:paraId="4085026D">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允许用户通过手机或移动设备方便快捷地提供反馈或回答问题。用户可以在WeLink小程序中直接打开调查表，填写所需的信息，并提交给系统。</w:t>
            </w:r>
          </w:p>
        </w:tc>
      </w:tr>
    </w:tbl>
    <w:p w14:paraId="096C350E">
      <w:pPr>
        <w:pStyle w:val="8"/>
        <w:numPr>
          <w:ilvl w:val="0"/>
          <w:numId w:val="0"/>
        </w:numPr>
        <w:spacing w:line="360" w:lineRule="auto"/>
        <w:ind w:leftChars="0"/>
        <w:outlineLvl w:val="0"/>
        <w:rPr>
          <w:rFonts w:hint="eastAsia" w:eastAsia="仿宋"/>
          <w:b/>
          <w:color w:val="auto"/>
          <w:spacing w:val="0"/>
          <w:kern w:val="44"/>
          <w:sz w:val="32"/>
          <w:szCs w:val="44"/>
        </w:rPr>
      </w:pPr>
    </w:p>
    <w:p w14:paraId="3DD63504">
      <w:pPr>
        <w:rPr>
          <w:rFonts w:ascii="仿宋" w:hAnsi="仿宋" w:eastAsia="仿宋"/>
          <w:color w:val="auto"/>
          <w:sz w:val="32"/>
          <w:szCs w:val="32"/>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Helvetica Neue">
    <w:altName w:val="Times New Roman"/>
    <w:panose1 w:val="02000503000000020004"/>
    <w:charset w:val="00"/>
    <w:family w:val="auto"/>
    <w:pitch w:val="default"/>
    <w:sig w:usb0="00000000" w:usb1="00000000" w:usb2="0000001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273BE2"/>
    <w:multiLevelType w:val="multilevel"/>
    <w:tmpl w:val="3D273BE2"/>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gwNmMxODliMjRiZDQ3ODY5ZDgxNzYwYjFlZTE1NDYifQ=="/>
  </w:docVars>
  <w:rsids>
    <w:rsidRoot w:val="002513DD"/>
    <w:rsid w:val="000A4897"/>
    <w:rsid w:val="001D2197"/>
    <w:rsid w:val="002513DD"/>
    <w:rsid w:val="00300EBB"/>
    <w:rsid w:val="00380A54"/>
    <w:rsid w:val="004A1CCA"/>
    <w:rsid w:val="007247A7"/>
    <w:rsid w:val="007262EC"/>
    <w:rsid w:val="007D3514"/>
    <w:rsid w:val="00962155"/>
    <w:rsid w:val="00D75F27"/>
    <w:rsid w:val="00D97A0A"/>
    <w:rsid w:val="00DA07EE"/>
    <w:rsid w:val="00DA1D31"/>
    <w:rsid w:val="00E718B8"/>
    <w:rsid w:val="00E9728F"/>
    <w:rsid w:val="00EE114D"/>
    <w:rsid w:val="00F55486"/>
    <w:rsid w:val="00FF5E75"/>
    <w:rsid w:val="0CD20841"/>
    <w:rsid w:val="459F70F8"/>
    <w:rsid w:val="477E10CE"/>
    <w:rsid w:val="47BC7C48"/>
    <w:rsid w:val="529212F5"/>
    <w:rsid w:val="565D08D6"/>
    <w:rsid w:val="57FAE9DB"/>
    <w:rsid w:val="5FF45548"/>
    <w:rsid w:val="6FFD78BB"/>
    <w:rsid w:val="76E7ED30"/>
    <w:rsid w:val="76FA5001"/>
    <w:rsid w:val="7A1F1D95"/>
    <w:rsid w:val="7B745757"/>
    <w:rsid w:val="AD3A3CC1"/>
    <w:rsid w:val="B67BA624"/>
    <w:rsid w:val="F77CCD3A"/>
    <w:rsid w:val="FA7D6DBA"/>
    <w:rsid w:val="FD7F6C8D"/>
    <w:rsid w:val="FDE77F8C"/>
    <w:rsid w:val="FFD5F5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uiPriority w:val="99"/>
    <w:rPr>
      <w:sz w:val="24"/>
    </w:rPr>
  </w:style>
  <w:style w:type="paragraph" w:customStyle="1" w:styleId="8">
    <w:name w:val="表格文字"/>
    <w:basedOn w:val="1"/>
    <w:qFormat/>
    <w:uiPriority w:val="0"/>
    <w:pPr>
      <w:spacing w:before="25" w:after="25"/>
      <w:jc w:val="left"/>
    </w:pPr>
    <w:rPr>
      <w:rFonts w:ascii="Times New Roman" w:hAnsi="Times New Roman" w:eastAsia="宋体" w:cs="Times New Roman"/>
      <w:bCs/>
      <w:spacing w:val="10"/>
      <w:kern w:val="0"/>
      <w:sz w:val="24"/>
      <w:szCs w:val="20"/>
    </w:rPr>
  </w:style>
  <w:style w:type="paragraph" w:styleId="9">
    <w:name w:val="List Paragraph"/>
    <w:basedOn w:val="1"/>
    <w:qFormat/>
    <w:uiPriority w:val="34"/>
    <w:pPr>
      <w:ind w:firstLine="420" w:firstLineChars="200"/>
    </w:pPr>
  </w:style>
  <w:style w:type="character" w:customStyle="1" w:styleId="10">
    <w:name w:val="批注框文本 字符"/>
    <w:basedOn w:val="7"/>
    <w:link w:val="2"/>
    <w:semiHidden/>
    <w:uiPriority w:val="99"/>
    <w:rPr>
      <w:sz w:val="18"/>
      <w:szCs w:val="18"/>
    </w:rPr>
  </w:style>
  <w:style w:type="character" w:customStyle="1" w:styleId="11">
    <w:name w:val="页眉 字符"/>
    <w:basedOn w:val="7"/>
    <w:link w:val="4"/>
    <w:qFormat/>
    <w:uiPriority w:val="99"/>
    <w:rPr>
      <w:sz w:val="18"/>
      <w:szCs w:val="18"/>
    </w:rPr>
  </w:style>
  <w:style w:type="character" w:customStyle="1" w:styleId="12">
    <w:name w:val="页脚 字符"/>
    <w:basedOn w:val="7"/>
    <w:link w:val="3"/>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2127</Words>
  <Characters>2167</Characters>
  <Lines>1</Lines>
  <Paragraphs>1</Paragraphs>
  <TotalTime>22</TotalTime>
  <ScaleCrop>false</ScaleCrop>
  <LinksUpToDate>false</LinksUpToDate>
  <CharactersWithSpaces>2167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2023-06-22T15:19:00Z</dcterms:created>
  <dc:creator>薛阳</dc:creator>
  <cp:lastModifiedBy>贵哥</cp:lastModifiedBy>
  <dcterms:modified xsi:type="dcterms:W3CDTF">2024-11-11T03:47:48Z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13B01ECCD34E94AB7AF1B064E5BCE955</vt:lpwstr>
  </property>
</Properties>
</file>